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cy-earnings-predictions--2026-07-28"/>
    <w:p>
      <w:pPr>
        <w:pStyle w:val="Heading1"/>
      </w:pPr>
      <w:r>
        <w:t xml:space="preserve">INCY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~$1.48B vs. cons $1.40B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 vs. cons $1.85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Opzelura Net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~$260M vs. cons $214.7M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~$5.05B vs. cons $4.90B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Opzelura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~$980M vs. cons $820M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GAAP R&amp;D+SG&amp;A (opex)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~$4.75B vs. cons $3.65B (FY2026, reflects Vega $1.25B upfront R&amp;D charge)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Jakafi XR Exit Run-Rate Commentary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~$70M annualized vs. cons $50M implied (by 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Much of the print is mechanical: the</w:t>
            </w:r>
            <w:r>
              <w:t xml:space="preserve"> </w:t>
            </w:r>
            <m:oMath>
              <m:r>
                <m:t>246</m:t>
              </m:r>
              <m:r>
                <m:t>M</m:t>
              </m:r>
              <m:r>
                <m:t>C</m:t>
              </m:r>
              <m:r>
                <m:t>M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O</m:t>
              </m:r>
              <m:r>
                <m:t>p</m:t>
              </m:r>
              <m:r>
                <m:t>z</m:t>
              </m:r>
              <m:r>
                <m:t>e</m:t>
              </m:r>
              <m:r>
                <m:t>l</m:t>
              </m:r>
              <m:r>
                <m:t>u</m:t>
              </m:r>
              <m:r>
                <m:t>r</m:t>
              </m:r>
              <m:r>
                <m:t>a</m:t>
              </m:r>
              <m:r>
                <m:t>a</m:t>
              </m:r>
              <m:r>
                <m:t>c</m:t>
              </m:r>
              <m:r>
                <m:t>c</m:t>
              </m:r>
              <m:r>
                <m:t>r</m:t>
              </m:r>
              <m:r>
                <m:t>u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a</m:t>
              </m:r>
              <m:r>
                <m:t>l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V</m:t>
              </m:r>
              <m:r>
                <m:t>e</m:t>
              </m:r>
              <m:r>
                <m:t>g</m:t>
              </m:r>
              <m:r>
                <m:t>a</m:t>
              </m:r>
              <m:r>
                <m:t>d</m:t>
              </m:r>
              <m:r>
                <m:t>e</m:t>
              </m:r>
              <m:r>
                <m:t>a</m:t>
              </m:r>
              <m:r>
                <m:t>l</m:t>
              </m:r>
              <m:r>
                <m:t>w</m:t>
              </m:r>
              <m:r>
                <m:t>e</m:t>
              </m:r>
              <m:r>
                <m:t>r</m:t>
              </m:r>
              <m:r>
                <m:t>e</m:t>
              </m:r>
              <m:r>
                <m:t>b</m:t>
              </m:r>
              <m:r>
                <m:t>o</m:t>
              </m:r>
              <m:r>
                <m:t>t</m:t>
              </m:r>
              <m:r>
                <m:t>h</m:t>
              </m:r>
              <m:r>
                <m:t>d</m:t>
              </m:r>
              <m:r>
                <m:t>i</m:t>
              </m:r>
              <m:r>
                <m:t>s</m:t>
              </m:r>
              <m:r>
                <m:t>c</m:t>
              </m:r>
              <m:r>
                <m:t>l</m:t>
              </m:r>
              <m:r>
                <m:t>o</m:t>
              </m:r>
              <m:r>
                <m:t>s</m:t>
              </m:r>
              <m:r>
                <m:t>e</m:t>
              </m:r>
              <m:r>
                <m:t>d</m:t>
              </m:r>
              <m:r>
                <m:t>3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t>w</m:t>
              </m:r>
              <m:r>
                <m:t>e</m:t>
              </m:r>
              <m:r>
                <m:t>e</m:t>
              </m:r>
              <m:r>
                <m:t>k</m:t>
              </m:r>
              <m:r>
                <m:t>s</m:t>
              </m:r>
              <m:r>
                <m:t>a</m:t>
              </m:r>
              <m:r>
                <m:t>g</m:t>
              </m:r>
              <m:r>
                <m:t>o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r</m:t>
              </m:r>
              <m:r>
                <m:t>e</m:t>
              </m:r>
              <m:r>
                <m:t>f</m:t>
              </m:r>
              <m:r>
                <m:t>l</m:t>
              </m:r>
              <m:r>
                <m:t>e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sSup>
                <m:e>
                  <m:r>
                    <m:t>k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20</m:t>
              </m:r>
            </m:oMath>
            <w:r>
              <w:t xml:space="preserve">1.25B Vega IPR&amp;D charge landing in Q3 (implicit out-period EPS headwind). With core Jakafi growth still mid-single-digit and R&amp;D spend elevated across 10+ Phase 3 programs, expect the initial beat-and-raise pop to partially fade over the week as investors rotate focus to the Q3 GAAP EPS air-pocket and question whether underlying (ex-settlement) growth justifies the re-rating.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2026-07-28T00:13:40Z</dcterms:created>
  <dcterms:modified xsi:type="dcterms:W3CDTF">2026-07-28T00:13:40Z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