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incy-q2-2026-earnings-preview"/>
    <w:p>
      <w:pPr>
        <w:pStyle w:val="Heading1"/>
      </w:pPr>
      <w:r>
        <w:t xml:space="preserve">INCY Q2 2026 Earnings Preview</w:t>
      </w:r>
    </w:p>
    <w:p>
      <w:pPr>
        <w:pStyle w:val="FirstParagraph"/>
      </w:pPr>
      <w:r>
        <w:rPr>
          <w:b/>
          <w:bCs/>
        </w:rPr>
        <w:t xml:space="preserve">Report:</w:t>
      </w:r>
      <w:r>
        <w:t xml:space="preserve"> </w:t>
      </w:r>
      <w:r>
        <w:t xml:space="preserve">Tuesday, July 28, 2026, at 7:00 a.m. ET</w:t>
      </w:r>
      <w:r>
        <w:br/>
      </w:r>
      <w:r>
        <w:rPr>
          <w:b/>
          <w:bCs/>
        </w:rPr>
        <w:t xml:space="preserve">Conference call:</w:t>
      </w:r>
      <w:r>
        <w:t xml:space="preserve"> </w:t>
      </w:r>
      <w:r>
        <w:t xml:space="preserve">8:00 a.m. ET (</w:t>
      </w:r>
      <w:hyperlink r:id="rId9">
        <w:r>
          <w:rPr>
            <w:rStyle w:val="Hyperlink"/>
          </w:rPr>
          <w:t xml:space="preserve">investor.incyte.com</w:t>
        </w:r>
      </w:hyperlink>
      <w:r>
        <w:t xml:space="preserve">)</w:t>
      </w:r>
    </w:p>
    <w:bookmarkStart w:id="11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Incyte enters the quarter with strong commercial momentum, several pipeline wins and a share price roughly</w:t>
      </w:r>
      <w:r>
        <w:t xml:space="preserve"> </w:t>
      </w:r>
      <w:r>
        <w:rPr>
          <w:b/>
          <w:bCs/>
        </w:rPr>
        <w:t xml:space="preserve">24% above its April 27 close</w:t>
      </w:r>
      <w:r>
        <w:t xml:space="preserve">. The setup is favorable, but expectations have risen.</w:t>
      </w:r>
    </w:p>
    <w:p>
      <w:pPr>
        <w:pStyle w:val="BodyText"/>
      </w:pPr>
      <w:r>
        <w:t xml:space="preserve">This will also be an unusually complicated quarter to interpret. Incyte expects to record a</w:t>
      </w:r>
      <w:r>
        <w:t xml:space="preserve"> </w:t>
      </w:r>
      <w:r>
        <w:rPr>
          <w:b/>
          <w:bCs/>
        </w:rPr>
        <w:t xml:space="preserve">$246 million one-time, non-cash benefit</w:t>
      </w:r>
      <w:r>
        <w:t xml:space="preserve"> </w:t>
      </w:r>
      <w:r>
        <w:t xml:space="preserve">from resolving its Opzelura Medicaid-rebate dispute with CMS. That benefit, along with a lasting improvement in Opzelura gross-to-net deductions, could make reported revenue and earnings look substantially stronger than the underlying business. Management has said it will update 2026 guidance for the settlement. (</w:t>
      </w:r>
      <w:hyperlink r:id="rId10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most important questions are therefore:</w:t>
      </w:r>
    </w:p>
    <w:p>
      <w:pPr>
        <w:pStyle w:val="Compact"/>
        <w:numPr>
          <w:ilvl w:val="0"/>
          <w:numId w:val="1001"/>
        </w:numPr>
      </w:pPr>
      <w:r>
        <w:t xml:space="preserve">How quickly are</w:t>
      </w:r>
      <w:r>
        <w:t xml:space="preserve"> </w:t>
      </w:r>
      <w:r>
        <w:rPr>
          <w:b/>
          <w:bCs/>
        </w:rPr>
        <w:t xml:space="preserve">Opzelura, Niktimvo, Monjuvi and Zynyz</w:t>
      </w:r>
      <w:r>
        <w:t xml:space="preserve"> </w:t>
      </w:r>
      <w:r>
        <w:t xml:space="preserve">growing before accounting benefits?</w:t>
      </w:r>
    </w:p>
    <w:p>
      <w:pPr>
        <w:pStyle w:val="Compact"/>
        <w:numPr>
          <w:ilvl w:val="0"/>
          <w:numId w:val="1001"/>
        </w:numPr>
      </w:pPr>
      <w:r>
        <w:t xml:space="preserve">Is</w:t>
      </w:r>
      <w:r>
        <w:t xml:space="preserve"> </w:t>
      </w:r>
      <w:r>
        <w:rPr>
          <w:b/>
          <w:bCs/>
        </w:rPr>
        <w:t xml:space="preserve">Jakafi</w:t>
      </w:r>
      <w:r>
        <w:t xml:space="preserve"> </w:t>
      </w:r>
      <w:r>
        <w:t xml:space="preserve">still growing reliably, and how is the new once-daily Jakafi XR launch progressing?</w:t>
      </w:r>
    </w:p>
    <w:p>
      <w:pPr>
        <w:pStyle w:val="Compact"/>
        <w:numPr>
          <w:ilvl w:val="0"/>
          <w:numId w:val="1001"/>
        </w:numPr>
      </w:pPr>
      <w:r>
        <w:t xml:space="preserve">How much of any guidance increase reflects the CMS settlement versus stronger demand?</w:t>
      </w:r>
    </w:p>
    <w:p>
      <w:pPr>
        <w:pStyle w:val="Compact"/>
        <w:numPr>
          <w:ilvl w:val="0"/>
          <w:numId w:val="1001"/>
        </w:numPr>
      </w:pPr>
      <w:r>
        <w:t xml:space="preserve">Can management maintain operating leverage while funding a much larger late-stage pipeline?</w:t>
      </w:r>
    </w:p>
    <w:p>
      <w:pPr>
        <w:pStyle w:val="Compact"/>
        <w:numPr>
          <w:ilvl w:val="0"/>
          <w:numId w:val="1001"/>
        </w:numPr>
      </w:pPr>
      <w:r>
        <w:t xml:space="preserve">What are the updated timelines for INCA033989, tafasitamab, povorcitinib and the newly acquired latarcibart?</w:t>
      </w:r>
    </w:p>
    <w:p>
      <w:r>
        <w:pict>
          <v:rect style="width:0;height:1.5pt" o:hralign="center" o:hrstd="t" o:hr="t"/>
        </w:pict>
      </w:r>
    </w:p>
    <w:bookmarkEnd w:id="11"/>
    <w:bookmarkStart w:id="14" w:name="street-expectations"/>
    <w:p>
      <w:pPr>
        <w:pStyle w:val="Heading2"/>
      </w:pPr>
      <w:r>
        <w:t xml:space="preserve">Street expectations</w:t>
      </w:r>
    </w:p>
    <w:p>
      <w:pPr>
        <w:pStyle w:val="FirstParagraph"/>
      </w:pPr>
      <w:r>
        <w:t xml:space="preserve">Published estimates vary, partly because of the unusual Opzelura accounting item. One commonly cited set of estimates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expectation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~$1.40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~$1.85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Jakafi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~$796.5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Opzelura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~$214.7 million</w:t>
            </w:r>
          </w:p>
        </w:tc>
      </w:tr>
    </w:tbl>
    <w:p>
      <w:pPr>
        <w:pStyle w:val="BodyText"/>
      </w:pPr>
      <w:r>
        <w:t xml:space="preserve">Zacks’ estimates imply approximately 4% year-over-year growth for Jakafi and 31% for Opzelura. Other data providers show materially higher consolidated estimates, reinforcing the need to examine the company’s reconciliation rather than judging the quarter against a single headline consensus. (</w:t>
      </w:r>
      <w:hyperlink r:id="rId12">
        <w:r>
          <w:rPr>
            <w:rStyle w:val="Hyperlink"/>
          </w:rPr>
          <w:t xml:space="preserve">zacks.com</w:t>
        </w:r>
      </w:hyperlink>
      <w:r>
        <w:t xml:space="preserve">)</w:t>
      </w:r>
    </w:p>
    <w:p>
      <w:pPr>
        <w:pStyle w:val="BodyText"/>
      </w:pPr>
      <w:r>
        <w:t xml:space="preserve">In Q1, Incyte reported</w:t>
      </w:r>
      <w:r>
        <w:t xml:space="preserve"> </w:t>
      </w:r>
      <m:oMath>
        <m:r>
          <m:t>1.27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1.10 billion of product sales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$1.81 of non-GAAP diluted EPS</w:t>
      </w:r>
      <w:r>
        <w:t xml:space="preserve">. Product sales increased 20% year over year, while management reaffirmed all 2026 guidance ranges. (</w:t>
      </w:r>
      <w:hyperlink r:id="rId13">
        <w:r>
          <w:rPr>
            <w:rStyle w:val="Hyperlink"/>
          </w:rPr>
          <w:t xml:space="preserve">investor.incyte.com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4"/>
    <w:bookmarkStart w:id="17" w:name="Xc6ea1906880727f5fc3e951dc3badb697025810"/>
    <w:p>
      <w:pPr>
        <w:pStyle w:val="Heading2"/>
      </w:pPr>
      <w:r>
        <w:t xml:space="preserve">1. Opzelura is the key near-term swing factor</w:t>
      </w:r>
    </w:p>
    <w:p>
      <w:pPr>
        <w:pStyle w:val="FirstParagraph"/>
      </w:pPr>
      <w:r>
        <w:t xml:space="preserve">Opzelura generated</w:t>
      </w:r>
      <w:r>
        <w:t xml:space="preserve"> </w:t>
      </w:r>
      <w:r>
        <w:rPr>
          <w:b/>
          <w:bCs/>
        </w:rPr>
        <w:t xml:space="preserve">$143 million in Q1</w:t>
      </w:r>
      <w:r>
        <w:t xml:space="preserve">, up 20% year over year, despite normal seasonal weakness. Management said underlying U.S. prescription demand grew 17%, while international sales increased 56% to $37 million.</w:t>
      </w:r>
    </w:p>
    <w:p>
      <w:pPr>
        <w:pStyle w:val="BodyText"/>
      </w:pPr>
      <w:r>
        <w:t xml:space="preserve">The Q2 comparison is against</w:t>
      </w:r>
      <w:r>
        <w:t xml:space="preserve"> </w:t>
      </w:r>
      <w:r>
        <w:rPr>
          <w:b/>
          <w:bCs/>
        </w:rPr>
        <w:t xml:space="preserve">$164 million in Q2 2025</w:t>
      </w:r>
      <w:r>
        <w:t xml:space="preserve">, and the cited consensus of approximately $215 million would represent about 31% growth. In addition to normal seasonal improvement, investors should watch:</w:t>
      </w:r>
    </w:p>
    <w:p>
      <w:pPr>
        <w:pStyle w:val="Compact"/>
        <w:numPr>
          <w:ilvl w:val="0"/>
          <w:numId w:val="1002"/>
        </w:numPr>
      </w:pPr>
      <w:r>
        <w:t xml:space="preserve">U.S. prescription and new-patient growth in atopic dermatitis and vitiligo.</w:t>
      </w:r>
    </w:p>
    <w:p>
      <w:pPr>
        <w:pStyle w:val="Compact"/>
        <w:numPr>
          <w:ilvl w:val="0"/>
          <w:numId w:val="1002"/>
        </w:numPr>
      </w:pPr>
      <w:r>
        <w:t xml:space="preserve">International vitiligo uptake.</w:t>
      </w:r>
    </w:p>
    <w:p>
      <w:pPr>
        <w:pStyle w:val="Compact"/>
        <w:numPr>
          <w:ilvl w:val="0"/>
          <w:numId w:val="1002"/>
        </w:numPr>
      </w:pPr>
      <w:r>
        <w:t xml:space="preserve">Whether management raises the existing</w:t>
      </w:r>
      <w:r>
        <w:t xml:space="preserve"> </w:t>
      </w:r>
      <w:r>
        <w:rPr>
          <w:b/>
          <w:bCs/>
        </w:rPr>
        <w:t xml:space="preserve">$750–790 million</w:t>
      </w:r>
      <w:r>
        <w:t xml:space="preserve"> </w:t>
      </w:r>
      <w:r>
        <w:t xml:space="preserve">2026 Opzelura guidance on an underlying basis.</w:t>
      </w:r>
    </w:p>
    <w:p>
      <w:pPr>
        <w:pStyle w:val="Compact"/>
        <w:numPr>
          <w:ilvl w:val="0"/>
          <w:numId w:val="1002"/>
        </w:numPr>
      </w:pPr>
      <w:r>
        <w:t xml:space="preserve">The recurring gross-to-net benefit from the CMS settlement.</w:t>
      </w:r>
    </w:p>
    <w:p>
      <w:pPr>
        <w:pStyle w:val="Compact"/>
        <w:numPr>
          <w:ilvl w:val="0"/>
          <w:numId w:val="1002"/>
        </w:numPr>
      </w:pPr>
      <w:r>
        <w:t xml:space="preserve">Timing of the European moderate-AD launch.</w:t>
      </w:r>
    </w:p>
    <w:p>
      <w:pPr>
        <w:pStyle w:val="FirstParagraph"/>
      </w:pPr>
      <w:r>
        <w:t xml:space="preserve">On June 25, the EMA’s CHMP issued a positive opinion recommending Opzelura for adults with moderate atopic dermatitis when standard topical therapies are inadequate or inappropriate. An eventual European Commission approval would open an additional growth market; management previously estimated that European moderate AD could eventually add $200–300 million in annual sales. (</w:t>
      </w:r>
      <w:hyperlink r:id="rId15">
        <w:r>
          <w:rPr>
            <w:rStyle w:val="Hyperlink"/>
          </w:rPr>
          <w:t xml:space="preserve">ema.europa.eu</w:t>
        </w:r>
      </w:hyperlink>
      <w:r>
        <w:t xml:space="preserve">)</w:t>
      </w:r>
    </w:p>
    <w:bookmarkStart w:id="16" w:name="the-accounting-complication"/>
    <w:p>
      <w:pPr>
        <w:pStyle w:val="Heading3"/>
      </w:pPr>
      <w:r>
        <w:t xml:space="preserve">The accounting complication</w:t>
      </w:r>
    </w:p>
    <w:p>
      <w:pPr>
        <w:pStyle w:val="FirstParagraph"/>
      </w:pPr>
      <w:r>
        <w:t xml:space="preserve">Incyte plans to reverse approximately</w:t>
      </w:r>
      <w:r>
        <w:t xml:space="preserve"> </w:t>
      </w:r>
      <w:r>
        <w:rPr>
          <w:b/>
          <w:bCs/>
        </w:rPr>
        <w:t xml:space="preserve">$246 million of previously recorded Opzelura rebate accruals</w:t>
      </w:r>
      <w:r>
        <w:t xml:space="preserve">. It will also stop accruing for the disputed line-extension treatment going forward.</w:t>
      </w:r>
    </w:p>
    <w:p>
      <w:pPr>
        <w:pStyle w:val="BodyText"/>
      </w:pPr>
      <w:r>
        <w:t xml:space="preserve">Investors should separate three items: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Underlying Q2 demand and prescription growth.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one-time $246 million reversal.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recurring improvement in future Opzelura gross-to-net.</w:t>
      </w:r>
    </w:p>
    <w:p>
      <w:pPr>
        <w:pStyle w:val="FirstParagraph"/>
      </w:pPr>
      <w:r>
        <w:t xml:space="preserve">A large reported beat that comes primarily from item two would be less meaningful than an increase in the recurring sales outlook.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9" w:name="Xfe72146324e3a02f8f3a26b11fd1d914dca7417"/>
    <w:p>
      <w:pPr>
        <w:pStyle w:val="Heading2"/>
      </w:pPr>
      <w:r>
        <w:t xml:space="preserve">2. Jakafi remains the earnings foundation</w:t>
      </w:r>
    </w:p>
    <w:p>
      <w:pPr>
        <w:pStyle w:val="FirstParagraph"/>
      </w:pPr>
      <w:r>
        <w:t xml:space="preserve">Jakafi produced</w:t>
      </w:r>
      <w:r>
        <w:t xml:space="preserve"> </w:t>
      </w:r>
      <m:oMath>
        <m:r>
          <m:t>758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7</m:t>
        </m:r>
      </m:oMath>
      <w:r>
        <w:rPr>
          <w:b/>
          <w:bCs/>
        </w:rPr>
        <w:t xml:space="preserve">3.22–3.27 billion</w:t>
      </w:r>
      <w:r>
        <w:t xml:space="preserve">, while Q2 consensus is approximately</w:t>
      </w:r>
      <w:r>
        <w:t xml:space="preserve"> </w:t>
      </w:r>
      <w:r>
        <w:rPr>
          <w:b/>
          <w:bCs/>
        </w:rPr>
        <w:t xml:space="preserve">$796.5 million</w:t>
      </w:r>
      <w:r>
        <w:t xml:space="preserve">. (</w:t>
      </w:r>
      <w:hyperlink r:id="rId12">
        <w:r>
          <w:rPr>
            <w:rStyle w:val="Hyperlink"/>
          </w:rPr>
          <w:t xml:space="preserve">zacks.com</w:t>
        </w:r>
      </w:hyperlink>
      <w:r>
        <w:t xml:space="preserve">)</w:t>
      </w:r>
    </w:p>
    <w:p>
      <w:pPr>
        <w:pStyle w:val="BodyText"/>
      </w:pPr>
      <w:r>
        <w:t xml:space="preserve">Points to watch include:</w:t>
      </w:r>
    </w:p>
    <w:p>
      <w:pPr>
        <w:pStyle w:val="Compact"/>
        <w:numPr>
          <w:ilvl w:val="0"/>
          <w:numId w:val="1004"/>
        </w:numPr>
      </w:pPr>
      <w:r>
        <w:t xml:space="preserve">Paid-demand growth across myelofibrosis, polycythemia vera and GVHD.</w:t>
      </w:r>
    </w:p>
    <w:p>
      <w:pPr>
        <w:pStyle w:val="Compact"/>
        <w:numPr>
          <w:ilvl w:val="0"/>
          <w:numId w:val="1004"/>
        </w:numPr>
      </w:pPr>
      <w:r>
        <w:t xml:space="preserve">Inventory levels and any gross-to-net changes.</w:t>
      </w:r>
    </w:p>
    <w:p>
      <w:pPr>
        <w:pStyle w:val="Compact"/>
        <w:numPr>
          <w:ilvl w:val="0"/>
          <w:numId w:val="1004"/>
        </w:numPr>
      </w:pPr>
      <w:r>
        <w:t xml:space="preserve">Whether management raises or narrows the full-year range.</w:t>
      </w:r>
    </w:p>
    <w:p>
      <w:pPr>
        <w:pStyle w:val="Compact"/>
        <w:numPr>
          <w:ilvl w:val="0"/>
          <w:numId w:val="1004"/>
        </w:numPr>
      </w:pPr>
      <w:r>
        <w:t xml:space="preserve">Initial physician demand and payer access for</w:t>
      </w:r>
      <w:r>
        <w:t xml:space="preserve"> </w:t>
      </w:r>
      <w:r>
        <w:rPr>
          <w:b/>
          <w:bCs/>
        </w:rPr>
        <w:t xml:space="preserve">Jakafi XR</w:t>
      </w:r>
      <w:r>
        <w:t xml:space="preserve">.</w:t>
      </w:r>
    </w:p>
    <w:p>
      <w:pPr>
        <w:pStyle w:val="FirstParagraph"/>
      </w:pPr>
      <w:r>
        <w:t xml:space="preserve">The FDA approved once-daily Jakafi XR on May 1, and the product became available for pharmacy orders on May 8. Management previously estimated that XR could represent</w:t>
      </w:r>
      <w:r>
        <w:t xml:space="preserve"> </w:t>
      </w:r>
      <w:r>
        <w:rPr>
          <w:b/>
          <w:bCs/>
        </w:rPr>
        <w:t xml:space="preserve">10%–30% of the Jakafi franchise by 2029</w:t>
      </w:r>
      <w:r>
        <w:t xml:space="preserve">, making the launch strategically important even if Q2 revenue is modest. (</w:t>
      </w:r>
      <w:hyperlink r:id="rId18">
        <w:r>
          <w:rPr>
            <w:rStyle w:val="Hyperlink"/>
          </w:rPr>
          <w:t xml:space="preserve">investor.incyte.com</w:t>
        </w:r>
      </w:hyperlink>
      <w:r>
        <w:t xml:space="preserve">)</w:t>
      </w:r>
    </w:p>
    <w:p>
      <w:pPr>
        <w:pStyle w:val="BodyText"/>
      </w:pPr>
      <w:r>
        <w:t xml:space="preserve">A successful XR conversion could improve patient convenience and help support franchise durability. Conversely, investors will want assurance that conversions do not produce near-term reimbursement friction or cannibalization-related disruption.</w:t>
      </w:r>
    </w:p>
    <w:p>
      <w:r>
        <w:pict>
          <v:rect style="width:0;height:1.5pt" o:hralign="center" o:hrstd="t" o:hr="t"/>
        </w:pict>
      </w:r>
    </w:p>
    <w:bookmarkEnd w:id="19"/>
    <w:bookmarkStart w:id="24" w:name="X3f88e910768d9f573ef33e13f29a6af7e0d0365"/>
    <w:p>
      <w:pPr>
        <w:pStyle w:val="Heading2"/>
      </w:pPr>
      <w:r>
        <w:t xml:space="preserve">3. The newer hematology and oncology portfolio must sustain its ramp</w:t>
      </w:r>
    </w:p>
    <w:p>
      <w:pPr>
        <w:pStyle w:val="FirstParagraph"/>
      </w:pPr>
      <w:r>
        <w:t xml:space="preserve">In Q1, the hematology and oncology portfolio generated</w:t>
      </w:r>
      <w:r>
        <w:t xml:space="preserve"> </w:t>
      </w:r>
      <w:r>
        <w:rPr>
          <w:b/>
          <w:bCs/>
        </w:rPr>
        <w:t xml:space="preserve">$204 million</w:t>
      </w:r>
      <w:r>
        <w:t xml:space="preserve">, up 116% year over year: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Product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 sales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Niktimvo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Monjuvi/Minjuvi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$49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Zynyz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$41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Iclusig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Pemazyre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$23 million</w:t>
            </w:r>
          </w:p>
        </w:tc>
      </w:tr>
    </w:tbl>
    <w:p>
      <w:pPr>
        <w:pStyle w:val="BodyText"/>
      </w:pPr>
      <w:r>
        <w:t xml:space="preserve">The portfolio’s full-year guidance is</w:t>
      </w:r>
      <w:r>
        <w:t xml:space="preserve"> </w:t>
      </w:r>
      <w:r>
        <w:rPr>
          <w:b/>
          <w:bCs/>
        </w:rPr>
        <w:t xml:space="preserve">$800–880 million</w:t>
      </w:r>
      <w:r>
        <w:t xml:space="preserve">. Q1 was already running around the midpoint of the quarterly pace needed to reach that range, making another quarter near or above $200 million important.</w:t>
      </w:r>
    </w:p>
    <w:bookmarkStart w:id="20" w:name="niktimvo"/>
    <w:p>
      <w:pPr>
        <w:pStyle w:val="Heading3"/>
      </w:pPr>
      <w:r>
        <w:t xml:space="preserve">Niktimvo</w:t>
      </w:r>
    </w:p>
    <w:p>
      <w:pPr>
        <w:pStyle w:val="FirstParagraph"/>
      </w:pPr>
      <w:r>
        <w:t xml:space="preserve">Niktimvo is the most important current launch in this group. In Q1, management said it had captured approximately 32% of the third-line-or-later chronic-GVHD market, with broad adoption across U.S. transplant centers.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5"/>
        </w:numPr>
      </w:pPr>
      <w:r>
        <w:t xml:space="preserve">Sequential growth from Q1’s $55 million.</w:t>
      </w:r>
    </w:p>
    <w:p>
      <w:pPr>
        <w:pStyle w:val="Compact"/>
        <w:numPr>
          <w:ilvl w:val="0"/>
          <w:numId w:val="1005"/>
        </w:numPr>
      </w:pPr>
      <w:r>
        <w:t xml:space="preserve">New-patient starts and treatment persistence.</w:t>
      </w:r>
    </w:p>
    <w:p>
      <w:pPr>
        <w:pStyle w:val="Compact"/>
        <w:numPr>
          <w:ilvl w:val="0"/>
          <w:numId w:val="1005"/>
        </w:numPr>
      </w:pPr>
      <w:r>
        <w:t xml:space="preserve">Updates from the Phase 2 first-line combination study with ruxolitinib, which is expected to read out in the second half of 2026.</w:t>
      </w:r>
    </w:p>
    <w:p>
      <w:pPr>
        <w:pStyle w:val="Compact"/>
        <w:numPr>
          <w:ilvl w:val="0"/>
          <w:numId w:val="1005"/>
        </w:numPr>
      </w:pPr>
      <w:r>
        <w:t xml:space="preserve">Any change to the broader first-line regulatory strategy.</w:t>
      </w:r>
    </w:p>
    <w:bookmarkEnd w:id="20"/>
    <w:bookmarkStart w:id="22" w:name="monjuvi"/>
    <w:p>
      <w:pPr>
        <w:pStyle w:val="Heading3"/>
      </w:pPr>
      <w:r>
        <w:t xml:space="preserve">Monjuvi</w:t>
      </w:r>
    </w:p>
    <w:p>
      <w:pPr>
        <w:pStyle w:val="FirstParagraph"/>
      </w:pPr>
      <w:r>
        <w:t xml:space="preserve">The Phase 3 frontMIND trial strengthened the first-line DLBCL opportunity. Adding tafasitamab and lenalidomide to R-CHOP reduced the risk of progression or death by</w:t>
      </w:r>
      <w:r>
        <w:t xml:space="preserve"> </w:t>
      </w:r>
      <w:r>
        <w:rPr>
          <w:b/>
          <w:bCs/>
        </w:rPr>
        <w:t xml:space="preserve">25%</w:t>
      </w:r>
      <w:r>
        <w:t xml:space="preserve">, with a progression-free survival hazard ratio of 0.75. (</w:t>
      </w:r>
      <w:hyperlink r:id="rId21">
        <w:r>
          <w:rPr>
            <w:rStyle w:val="Hyperlink"/>
          </w:rPr>
          <w:t xml:space="preserve">investor.incyte.com</w:t>
        </w:r>
      </w:hyperlink>
      <w:r>
        <w:t xml:space="preserve">)</w:t>
      </w:r>
    </w:p>
    <w:p>
      <w:pPr>
        <w:pStyle w:val="BodyText"/>
      </w:pPr>
      <w:r>
        <w:t xml:space="preserve">The main call questions are:</w:t>
      </w:r>
    </w:p>
    <w:p>
      <w:pPr>
        <w:pStyle w:val="Compact"/>
        <w:numPr>
          <w:ilvl w:val="0"/>
          <w:numId w:val="1006"/>
        </w:numPr>
      </w:pPr>
      <w:r>
        <w:t xml:space="preserve">Have the planned U.S. and international regulatory submissions been completed?</w:t>
      </w:r>
    </w:p>
    <w:p>
      <w:pPr>
        <w:pStyle w:val="Compact"/>
        <w:numPr>
          <w:ilvl w:val="0"/>
          <w:numId w:val="1006"/>
        </w:numPr>
      </w:pPr>
      <w:r>
        <w:t xml:space="preserve">Is approval and launch still expected in early 2027?</w:t>
      </w:r>
    </w:p>
    <w:p>
      <w:pPr>
        <w:pStyle w:val="Compact"/>
        <w:numPr>
          <w:ilvl w:val="0"/>
          <w:numId w:val="1006"/>
        </w:numPr>
      </w:pPr>
      <w:r>
        <w:t xml:space="preserve">How commercially broad could the label be?</w:t>
      </w:r>
    </w:p>
    <w:p>
      <w:pPr>
        <w:pStyle w:val="Compact"/>
        <w:numPr>
          <w:ilvl w:val="0"/>
          <w:numId w:val="1006"/>
        </w:numPr>
      </w:pPr>
      <w:r>
        <w:t xml:space="preserve">Does the additional treatment complexity affect expected adoption?</w:t>
      </w:r>
    </w:p>
    <w:p>
      <w:pPr>
        <w:pStyle w:val="FirstParagraph"/>
      </w:pPr>
      <w:r>
        <w:t xml:space="preserve">Monjuvi’s existing follicular-lymphoma launch should continue to support near-term sales, but the first-line DLBCL indication represents the larger potential value driver.</w:t>
      </w:r>
    </w:p>
    <w:bookmarkEnd w:id="22"/>
    <w:bookmarkStart w:id="23" w:name="zynyz"/>
    <w:p>
      <w:pPr>
        <w:pStyle w:val="Heading3"/>
      </w:pPr>
      <w:r>
        <w:t xml:space="preserve">Zynyz</w:t>
      </w:r>
    </w:p>
    <w:p>
      <w:pPr>
        <w:pStyle w:val="FirstParagraph"/>
      </w:pPr>
      <w:r>
        <w:t xml:space="preserve">Zynyz posted $41 million in Q1 following rapid adoption in first-line squamous-cell anal carcinoma. Investors should assess whether this early ramp is sustainable or included any launch-related stocking effects.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Xc28a1dcf58b5e9fc30198cf3b5a7cf8ab3fb36d"/>
    <w:p>
      <w:pPr>
        <w:pStyle w:val="Heading2"/>
      </w:pPr>
      <w:r>
        <w:t xml:space="preserve">4. Guidance quality matters more than the headline raise</w:t>
      </w:r>
    </w:p>
    <w:p>
      <w:pPr>
        <w:pStyle w:val="FirstParagraph"/>
      </w:pPr>
      <w:r>
        <w:t xml:space="preserve">Current 2026 guidance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product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$4.77–4.94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Jakafi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$3.22–3.27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Opzelura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$750–790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Hematology and oncology portfolio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$800–880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R&amp;D + SG&amp;A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$3.495–3.675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R&amp;D + SG&amp;A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$3.205–3.375 billion</w:t>
            </w:r>
          </w:p>
        </w:tc>
      </w:tr>
    </w:tbl>
    <w:p>
      <w:pPr>
        <w:pStyle w:val="BodyText"/>
      </w:pPr>
      <w:r>
        <w:t xml:space="preserve">Management has explicitly said it will update guidance for the CMS resolution. Consequently, some increase is already expected and should not automatically be considered a positive surprise.</w:t>
      </w:r>
    </w:p>
    <w:p>
      <w:pPr>
        <w:pStyle w:val="BodyText"/>
      </w:pPr>
      <w:r>
        <w:t xml:space="preserve">A high-quality raise would include:</w:t>
      </w:r>
    </w:p>
    <w:p>
      <w:pPr>
        <w:pStyle w:val="Compact"/>
        <w:numPr>
          <w:ilvl w:val="0"/>
          <w:numId w:val="1007"/>
        </w:numPr>
      </w:pPr>
      <w:r>
        <w:t xml:space="preserve">An increase beyond the $246 million accounting reversal.</w:t>
      </w:r>
    </w:p>
    <w:p>
      <w:pPr>
        <w:pStyle w:val="Compact"/>
        <w:numPr>
          <w:ilvl w:val="0"/>
          <w:numId w:val="1007"/>
        </w:numPr>
      </w:pPr>
      <w:r>
        <w:t xml:space="preserve">Higher recurring Opzelura expectations from improved gross-to-net.</w:t>
      </w:r>
    </w:p>
    <w:p>
      <w:pPr>
        <w:pStyle w:val="Compact"/>
        <w:numPr>
          <w:ilvl w:val="0"/>
          <w:numId w:val="1007"/>
        </w:numPr>
      </w:pPr>
      <w:r>
        <w:t xml:space="preserve">Stronger underlying assumptions for Jakafi or newer launches.</w:t>
      </w:r>
    </w:p>
    <w:p>
      <w:pPr>
        <w:pStyle w:val="Compact"/>
        <w:numPr>
          <w:ilvl w:val="0"/>
          <w:numId w:val="1007"/>
        </w:numPr>
      </w:pPr>
      <w:r>
        <w:t xml:space="preserve">Stable or only modestly higher operating-expense guidance.</w:t>
      </w:r>
    </w:p>
    <w:p>
      <w:pPr>
        <w:pStyle w:val="FirstParagraph"/>
      </w:pPr>
      <w:r>
        <w:t xml:space="preserve">A low-quality raise would primarily add the one-time CMS benefit while leaving underlying demand assumptions unchanged—or would be offset by meaningfully higher R&amp;D and launch spending.</w:t>
      </w:r>
    </w:p>
    <w:p>
      <w:r>
        <w:pict>
          <v:rect style="width:0;height:1.5pt" o:hralign="center" o:hrstd="t" o:hr="t"/>
        </w:pict>
      </w:r>
    </w:p>
    <w:bookmarkEnd w:id="25"/>
    <w:bookmarkStart w:id="31" w:name="X301d4d368d03af574c0fa352595388849b2f460"/>
    <w:p>
      <w:pPr>
        <w:pStyle w:val="Heading2"/>
      </w:pPr>
      <w:r>
        <w:t xml:space="preserve">5. Pipeline updates could matter as much as Q2 sales</w:t>
      </w:r>
    </w:p>
    <w:bookmarkStart w:id="27" w:name="Xfb374585c3caa608cc2ca2b0722fc4e4718f81b"/>
    <w:p>
      <w:pPr>
        <w:pStyle w:val="Heading3"/>
      </w:pPr>
      <w:r>
        <w:t xml:space="preserve">INCA033989: the most important hematology update</w:t>
      </w:r>
    </w:p>
    <w:p>
      <w:pPr>
        <w:pStyle w:val="FirstParagraph"/>
      </w:pPr>
      <w:r>
        <w:t xml:space="preserve">June’s EHA data reinforced INCA033989 as one of Incyte’s most valuable internal pipeline assets.</w:t>
      </w:r>
    </w:p>
    <w:p>
      <w:pPr>
        <w:pStyle w:val="BodyText"/>
      </w:pPr>
      <w:r>
        <w:t xml:space="preserve">In essential thrombocythemia,</w:t>
      </w:r>
      <w:r>
        <w:t xml:space="preserve"> </w:t>
      </w:r>
      <w:r>
        <w:rPr>
          <w:b/>
          <w:bCs/>
        </w:rPr>
        <w:t xml:space="preserve">87%</w:t>
      </w:r>
      <w:r>
        <w:t xml:space="preserve"> </w:t>
      </w:r>
      <w:r>
        <w:t xml:space="preserve">of patients achieved a complete or partial hematologic response and</w:t>
      </w:r>
      <w:r>
        <w:t xml:space="preserve"> </w:t>
      </w:r>
      <w:r>
        <w:rPr>
          <w:b/>
          <w:bCs/>
        </w:rPr>
        <w:t xml:space="preserve">70%</w:t>
      </w:r>
      <w:r>
        <w:t xml:space="preserve"> </w:t>
      </w:r>
      <w:r>
        <w:t xml:space="preserve">achieved a complete response. In myelofibrosis, week-24 SVR35 was 27% with monotherapy and 30% in combination with ruxolitinib; molecular responses supported the potential for disease modification. (</w:t>
      </w:r>
      <w:hyperlink r:id="rId26">
        <w:r>
          <w:rPr>
            <w:rStyle w:val="Hyperlink"/>
          </w:rPr>
          <w:t xml:space="preserve">investor.incyte.com</w:t>
        </w:r>
      </w:hyperlink>
      <w:r>
        <w:t xml:space="preserve">)</w:t>
      </w:r>
    </w:p>
    <w:p>
      <w:pPr>
        <w:pStyle w:val="BodyText"/>
      </w:pPr>
      <w:r>
        <w:t xml:space="preserve">Key earnings-call questions:</w:t>
      </w:r>
    </w:p>
    <w:p>
      <w:pPr>
        <w:pStyle w:val="Compact"/>
        <w:numPr>
          <w:ilvl w:val="0"/>
          <w:numId w:val="1008"/>
        </w:numPr>
      </w:pPr>
      <w:r>
        <w:t xml:space="preserve">Has the pivotal EXCALIBUR-ET2 trial formally begun enrolling?</w:t>
      </w:r>
    </w:p>
    <w:p>
      <w:pPr>
        <w:pStyle w:val="Compact"/>
        <w:numPr>
          <w:ilvl w:val="0"/>
          <w:numId w:val="1008"/>
        </w:numPr>
      </w:pPr>
      <w:r>
        <w:t xml:space="preserve">Has Incyte reached alignment with the FDA on a second-line MF trial?</w:t>
      </w:r>
    </w:p>
    <w:p>
      <w:pPr>
        <w:pStyle w:val="Compact"/>
        <w:numPr>
          <w:ilvl w:val="0"/>
          <w:numId w:val="1008"/>
        </w:numPr>
      </w:pPr>
      <w:r>
        <w:t xml:space="preserve">What primary endpoint will be used in MF?</w:t>
      </w:r>
    </w:p>
    <w:p>
      <w:pPr>
        <w:pStyle w:val="Compact"/>
        <w:numPr>
          <w:ilvl w:val="0"/>
          <w:numId w:val="1008"/>
        </w:numPr>
      </w:pPr>
      <w:r>
        <w:t xml:space="preserve">Can a subcutaneous formulation be incorporated without delaying development?</w:t>
      </w:r>
    </w:p>
    <w:p>
      <w:pPr>
        <w:pStyle w:val="Compact"/>
        <w:numPr>
          <w:ilvl w:val="0"/>
          <w:numId w:val="1008"/>
        </w:numPr>
      </w:pPr>
      <w:r>
        <w:t xml:space="preserve">Is the first-line MF program still expected to begin later in 2026?</w:t>
      </w:r>
    </w:p>
    <w:p>
      <w:pPr>
        <w:pStyle w:val="FirstParagraph"/>
      </w:pPr>
      <w:r>
        <w:t xml:space="preserve">The market is increasingly assigning value to this program, so delays or a less favorable regulatory path could matter even if quarterly earnings beat expectations.</w:t>
      </w:r>
    </w:p>
    <w:bookmarkEnd w:id="27"/>
    <w:bookmarkStart w:id="29" w:name="povorcitinib"/>
    <w:p>
      <w:pPr>
        <w:pStyle w:val="Heading3"/>
      </w:pPr>
      <w:r>
        <w:t xml:space="preserve">Povorcitinib</w:t>
      </w:r>
    </w:p>
    <w:p>
      <w:pPr>
        <w:pStyle w:val="FirstParagraph"/>
      </w:pPr>
      <w:r>
        <w:t xml:space="preserve">The FDA has accepted the NDA for moderate-to-severe hidradenitis suppurativa, with Incyte targeting a potential U.S. approval in Q1 2027. Positive Phase 3 vitiligo results support regulatory applications planned for the first half of 2027. (</w:t>
      </w:r>
      <w:hyperlink r:id="rId28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9"/>
        </w:numPr>
      </w:pPr>
      <w:r>
        <w:t xml:space="preserve">FDA review progress and launch preparation in HS.</w:t>
      </w:r>
    </w:p>
    <w:p>
      <w:pPr>
        <w:pStyle w:val="Compact"/>
        <w:numPr>
          <w:ilvl w:val="0"/>
          <w:numId w:val="1009"/>
        </w:numPr>
      </w:pPr>
      <w:r>
        <w:t xml:space="preserve">Whether the expected label could cover both pre- and post-biologic patients.</w:t>
      </w:r>
    </w:p>
    <w:p>
      <w:pPr>
        <w:pStyle w:val="Compact"/>
        <w:numPr>
          <w:ilvl w:val="0"/>
          <w:numId w:val="1009"/>
        </w:numPr>
      </w:pPr>
      <w:r>
        <w:t xml:space="preserve">EU filing and approval timing.</w:t>
      </w:r>
    </w:p>
    <w:p>
      <w:pPr>
        <w:pStyle w:val="Compact"/>
        <w:numPr>
          <w:ilvl w:val="0"/>
          <w:numId w:val="1009"/>
        </w:numPr>
      </w:pPr>
      <w:r>
        <w:t xml:space="preserve">Timing for prurigo nodularis and asthma data.</w:t>
      </w:r>
    </w:p>
    <w:p>
      <w:pPr>
        <w:pStyle w:val="Compact"/>
        <w:numPr>
          <w:ilvl w:val="0"/>
          <w:numId w:val="1009"/>
        </w:numPr>
      </w:pPr>
      <w:r>
        <w:t xml:space="preserve">Commercial positioning alongside Opzelura.</w:t>
      </w:r>
    </w:p>
    <w:bookmarkEnd w:id="29"/>
    <w:bookmarkStart w:id="30" w:name="oncology-pipeline"/>
    <w:p>
      <w:pPr>
        <w:pStyle w:val="Heading3"/>
      </w:pPr>
      <w:r>
        <w:t xml:space="preserve">Oncology pipeline</w:t>
      </w:r>
    </w:p>
    <w:p>
      <w:pPr>
        <w:pStyle w:val="FirstParagraph"/>
      </w:pPr>
      <w:r>
        <w:t xml:space="preserve">The call should also update: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INCB161734</w:t>
      </w:r>
      <w:r>
        <w:t xml:space="preserve">, the KRAS G12D inhibitor now in Phase 3 first-line pancreatic cancer development.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INCA33890</w:t>
      </w:r>
      <w:r>
        <w:t xml:space="preserve">, the TGFβR2×PD-1 bispecific in Phase 3 MSS colorectal cancer.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INCB123667</w:t>
      </w:r>
      <w:r>
        <w:t xml:space="preserve">, the CDK2 inhibitor in pivotal ovarian-cancer studies.</w:t>
      </w:r>
    </w:p>
    <w:p>
      <w:pPr>
        <w:pStyle w:val="FirstParagraph"/>
      </w:pPr>
      <w:r>
        <w:t xml:space="preserve">The principal question is whether all second-half clinical readouts and trial initiations remain on schedule.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4" w:name="Xbaf00dc745b98a6478ec044cc223e3a2beccddd"/>
    <w:p>
      <w:pPr>
        <w:pStyle w:val="Heading2"/>
      </w:pPr>
      <w:r>
        <w:t xml:space="preserve">6. Vega acquisition and capital allocation</w:t>
      </w:r>
    </w:p>
    <w:p>
      <w:pPr>
        <w:pStyle w:val="FirstParagraph"/>
      </w:pPr>
      <w:r>
        <w:t xml:space="preserve">Incyte completed its acquisition of Vega Therapeutics on July 6 for</w:t>
      </w:r>
      <w:r>
        <w:t xml:space="preserve"> </w:t>
      </w:r>
      <w:r>
        <w:rPr>
          <w:b/>
          <w:bCs/>
        </w:rPr>
        <w:t xml:space="preserve">$1.25 billion upfront</w:t>
      </w:r>
      <w:r>
        <w:t xml:space="preserve">, with up to $750 million of additional sales milestones. The acquisition adds latarcibart, formerly VGA039, a once-monthly subcutaneous antibody in Phase 3 development for von Willebrand disease. The upfront payment will be recorded as a one-time R&amp;D expense in Q3 in both GAAP and non-GAAP results. (</w:t>
      </w:r>
      <w:hyperlink r:id="rId32">
        <w:r>
          <w:rPr>
            <w:rStyle w:val="Hyperlink"/>
          </w:rPr>
          <w:t xml:space="preserve">investor.incyte.com</w:t>
        </w:r>
      </w:hyperlink>
      <w:r>
        <w:t xml:space="preserve">)</w:t>
      </w:r>
    </w:p>
    <w:p>
      <w:pPr>
        <w:pStyle w:val="BodyText"/>
      </w:pPr>
      <w:r>
        <w:t xml:space="preserve">Shortly after closing, Incyte reported that latarcibart produced an</w:t>
      </w:r>
      <w:r>
        <w:t xml:space="preserve"> </w:t>
      </w:r>
      <w:r>
        <w:rPr>
          <w:b/>
          <w:bCs/>
        </w:rPr>
        <w:t xml:space="preserve">81% median reduction in annualized bleeding rate</w:t>
      </w:r>
      <w:r>
        <w:t xml:space="preserve"> </w:t>
      </w:r>
      <w:r>
        <w:t xml:space="preserve">in a 16-patient Phase 1/2 multidose study. The pivotal VIVID-6 trial is enrolling. (</w:t>
      </w:r>
      <w:hyperlink r:id="rId33">
        <w:r>
          <w:rPr>
            <w:rStyle w:val="Hyperlink"/>
          </w:rPr>
          <w:t xml:space="preserve">investor.incyte.com</w:t>
        </w:r>
      </w:hyperlink>
      <w:r>
        <w:t xml:space="preserve">)</w:t>
      </w:r>
    </w:p>
    <w:p>
      <w:pPr>
        <w:pStyle w:val="BodyText"/>
      </w:pPr>
      <w:r>
        <w:t xml:space="preserve">Management should clarify:</w:t>
      </w:r>
    </w:p>
    <w:p>
      <w:pPr>
        <w:pStyle w:val="Compact"/>
        <w:numPr>
          <w:ilvl w:val="0"/>
          <w:numId w:val="1011"/>
        </w:numPr>
      </w:pPr>
      <w:r>
        <w:t xml:space="preserve">Expected VIVID-6 enrollment and data timelines.</w:t>
      </w:r>
    </w:p>
    <w:p>
      <w:pPr>
        <w:pStyle w:val="Compact"/>
        <w:numPr>
          <w:ilvl w:val="0"/>
          <w:numId w:val="1011"/>
        </w:numPr>
      </w:pPr>
      <w:r>
        <w:t xml:space="preserve">Incremental development and commercial infrastructure spending.</w:t>
      </w:r>
    </w:p>
    <w:p>
      <w:pPr>
        <w:pStyle w:val="Compact"/>
        <w:numPr>
          <w:ilvl w:val="0"/>
          <w:numId w:val="1011"/>
        </w:numPr>
      </w:pPr>
      <w:r>
        <w:t xml:space="preserve">The potential regulatory path across different VWD types.</w:t>
      </w:r>
    </w:p>
    <w:p>
      <w:pPr>
        <w:pStyle w:val="Compact"/>
        <w:numPr>
          <w:ilvl w:val="0"/>
          <w:numId w:val="1011"/>
        </w:numPr>
      </w:pPr>
      <w:r>
        <w:t xml:space="preserve">How the acquisition changes cash deployment and future business-development appetite.</w:t>
      </w:r>
    </w:p>
    <w:p>
      <w:pPr>
        <w:pStyle w:val="FirstParagraph"/>
      </w:pPr>
      <w:r>
        <w:t xml:space="preserve">Incyte ended Q1 with approximately $4.0 billion in cash and marketable securities. The transaction is affordable, but investors will expect evidence that the asset’s opportunity justifies a sizable upfront payment based on an early, small clinical dataset.</w:t>
      </w:r>
    </w:p>
    <w:p>
      <w:r>
        <w:pict>
          <v:rect style="width:0;height:1.5pt" o:hralign="center" o:hrstd="t" o:hr="t"/>
        </w:pict>
      </w:r>
    </w:p>
    <w:bookmarkEnd w:id="34"/>
    <w:bookmarkStart w:id="37" w:name="bull-and-bear-scorecards"/>
    <w:p>
      <w:pPr>
        <w:pStyle w:val="Heading2"/>
      </w:pPr>
      <w:r>
        <w:t xml:space="preserve">Bull and bear scorecards</w:t>
      </w:r>
    </w:p>
    <w:bookmarkStart w:id="35" w:name="bullish-result"/>
    <w:p>
      <w:pPr>
        <w:pStyle w:val="Heading3"/>
      </w:pPr>
      <w:r>
        <w:t xml:space="preserve">Bullish result</w:t>
      </w:r>
    </w:p>
    <w:p>
      <w:pPr>
        <w:pStyle w:val="Compact"/>
        <w:numPr>
          <w:ilvl w:val="0"/>
          <w:numId w:val="1012"/>
        </w:numPr>
      </w:pPr>
      <w:r>
        <w:t xml:space="preserve">Underlying revenue exceeds approximately $1.4 billion before the CMS reversal.</w:t>
      </w:r>
    </w:p>
    <w:p>
      <w:pPr>
        <w:pStyle w:val="Compact"/>
        <w:numPr>
          <w:ilvl w:val="0"/>
          <w:numId w:val="1012"/>
        </w:numPr>
      </w:pPr>
      <w:r>
        <w:t xml:space="preserve">Jakafi beats the roughly $797 million product estimate.</w:t>
      </w:r>
    </w:p>
    <w:p>
      <w:pPr>
        <w:pStyle w:val="Compact"/>
        <w:numPr>
          <w:ilvl w:val="0"/>
          <w:numId w:val="1012"/>
        </w:numPr>
      </w:pPr>
      <w:r>
        <w:t xml:space="preserve">Opzelura underlying sales reach or exceed approximately $215 million.</w:t>
      </w:r>
    </w:p>
    <w:p>
      <w:pPr>
        <w:pStyle w:val="Compact"/>
        <w:numPr>
          <w:ilvl w:val="0"/>
          <w:numId w:val="1012"/>
        </w:numPr>
      </w:pPr>
      <w:r>
        <w:t xml:space="preserve">Niktimvo, Monjuvi and Zynyz all post healthy sequential growth.</w:t>
      </w:r>
    </w:p>
    <w:p>
      <w:pPr>
        <w:pStyle w:val="Compact"/>
        <w:numPr>
          <w:ilvl w:val="0"/>
          <w:numId w:val="1012"/>
        </w:numPr>
      </w:pPr>
      <w:r>
        <w:t xml:space="preserve">Guidance is raised by more than the one-time settlement effect.</w:t>
      </w:r>
    </w:p>
    <w:p>
      <w:pPr>
        <w:pStyle w:val="Compact"/>
        <w:numPr>
          <w:ilvl w:val="0"/>
          <w:numId w:val="1012"/>
        </w:numPr>
      </w:pPr>
      <w:r>
        <w:t xml:space="preserve">Expense guidance is maintained despite added launches and pipeline investment.</w:t>
      </w:r>
    </w:p>
    <w:p>
      <w:pPr>
        <w:pStyle w:val="Compact"/>
        <w:numPr>
          <w:ilvl w:val="0"/>
          <w:numId w:val="1012"/>
        </w:numPr>
      </w:pPr>
      <w:r>
        <w:t xml:space="preserve">Management confirms pivotal progress for INCA033989 and all major second-half readouts.</w:t>
      </w:r>
    </w:p>
    <w:bookmarkEnd w:id="35"/>
    <w:bookmarkStart w:id="36" w:name="bearish-result"/>
    <w:p>
      <w:pPr>
        <w:pStyle w:val="Heading3"/>
      </w:pPr>
      <w:r>
        <w:t xml:space="preserve">Bearish result</w:t>
      </w:r>
    </w:p>
    <w:p>
      <w:pPr>
        <w:pStyle w:val="Compact"/>
        <w:numPr>
          <w:ilvl w:val="0"/>
          <w:numId w:val="1013"/>
        </w:numPr>
      </w:pPr>
      <w:r>
        <w:t xml:space="preserve">The headline beat is largely or entirely attributable to the CMS reversal.</w:t>
      </w:r>
    </w:p>
    <w:p>
      <w:pPr>
        <w:pStyle w:val="Compact"/>
        <w:numPr>
          <w:ilvl w:val="0"/>
          <w:numId w:val="1013"/>
        </w:numPr>
      </w:pPr>
      <w:r>
        <w:t xml:space="preserve">Opzelura prescriptions or underlying net sales fall short of expectations.</w:t>
      </w:r>
    </w:p>
    <w:p>
      <w:pPr>
        <w:pStyle w:val="Compact"/>
        <w:numPr>
          <w:ilvl w:val="0"/>
          <w:numId w:val="1013"/>
        </w:numPr>
      </w:pPr>
      <w:r>
        <w:t xml:space="preserve">Jakafi growth slows and Jakafi XR access appears difficult.</w:t>
      </w:r>
    </w:p>
    <w:p>
      <w:pPr>
        <w:pStyle w:val="Compact"/>
        <w:numPr>
          <w:ilvl w:val="0"/>
          <w:numId w:val="1013"/>
        </w:numPr>
      </w:pPr>
      <w:r>
        <w:t xml:space="preserve">New-product sales plateau after strong launch quarters.</w:t>
      </w:r>
    </w:p>
    <w:p>
      <w:pPr>
        <w:pStyle w:val="Compact"/>
        <w:numPr>
          <w:ilvl w:val="0"/>
          <w:numId w:val="1013"/>
        </w:numPr>
      </w:pPr>
      <w:r>
        <w:t xml:space="preserve">The guidance increase is purely mechanical.</w:t>
      </w:r>
    </w:p>
    <w:p>
      <w:pPr>
        <w:pStyle w:val="Compact"/>
        <w:numPr>
          <w:ilvl w:val="0"/>
          <w:numId w:val="1013"/>
        </w:numPr>
      </w:pPr>
      <w:r>
        <w:t xml:space="preserve">Operating-expense guidance rises meaningfully.</w:t>
      </w:r>
    </w:p>
    <w:p>
      <w:pPr>
        <w:pStyle w:val="Compact"/>
        <w:numPr>
          <w:ilvl w:val="0"/>
          <w:numId w:val="1013"/>
        </w:numPr>
      </w:pPr>
      <w:r>
        <w:t xml:space="preserve">INCA033989, povorcitinib or oncology timelines slip.</w:t>
      </w:r>
    </w:p>
    <w:p>
      <w:pPr>
        <w:pStyle w:val="Compact"/>
        <w:numPr>
          <w:ilvl w:val="0"/>
          <w:numId w:val="1013"/>
        </w:numPr>
      </w:pPr>
      <w:r>
        <w:t xml:space="preserve">The Vega acquisition requires more spending or a longer development timeline than investors anticipated.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quarter’s</w:t>
      </w:r>
      <w:r>
        <w:t xml:space="preserve"> </w:t>
      </w:r>
      <w:r>
        <w:rPr>
          <w:b/>
          <w:bCs/>
        </w:rPr>
        <w:t xml:space="preserve">headline revenue and EPS may be misleading</w:t>
      </w:r>
      <w:r>
        <w:t xml:space="preserve"> </w:t>
      </w:r>
      <w:r>
        <w:t xml:space="preserve">because of the $246 million Opzelura accounting benefit. The cleanest signals will be: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Underlying Opzelura demand and revised recurring guidance.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Jakafi growth plus early Jakafi XR access.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Sequential growth from Niktimvo, Monjuvi and Zynyz.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portion of the guidance raise that remains after removing one-time accounting effects.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Confirmation of pivotal timelines for INCA033989, povorcitinib and latarcibart.</w:t>
      </w:r>
    </w:p>
    <w:p>
      <w:pPr>
        <w:pStyle w:val="FirstParagraph"/>
      </w:pPr>
      <w:r>
        <w:t xml:space="preserve">Incyte’s investment case is increasingly shifting from “Jakafi plus pipeline” to a broader commercial and late-stage portfolio. Q2 needs to show that this diversification is translating into durable revenue growth—not simply a favorable accounting quarter.</w:t>
      </w:r>
    </w:p>
    <w:bookmarkEnd w:id="38"/>
    <w:bookmarkEnd w:id="3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https://investor.incyte.com/news-releases/news-release-details/incyte-announces-fda-approval-jakafi-xrtm-ruxolitinib-extended?utm_source=openai" TargetMode="External" /><Relationship Type="http://schemas.openxmlformats.org/officeDocument/2006/relationships/hyperlink" Id="rId26" Target="https://investor.incyte.com/news-releases/news-release-details/incyte-announces-new-positive-data-eha-2026-showed-inca033989" TargetMode="External" /><Relationship Type="http://schemas.openxmlformats.org/officeDocument/2006/relationships/hyperlink" Id="rId32" Target="https://investor.incyte.com/news-releases/news-release-details/incyte-completes-acquisition-vega-therapeutics-wholly-owned?utm_source=openai" TargetMode="External" /><Relationship Type="http://schemas.openxmlformats.org/officeDocument/2006/relationships/hyperlink" Id="rId33" Target="https://investor.incyte.com/news-releases/news-release-details/incyte-presents-phase-12-multidose-data-vga039-latarcibart-isth?utm_source=openai" TargetMode="External" /><Relationship Type="http://schemas.openxmlformats.org/officeDocument/2006/relationships/hyperlink" Id="rId9" Target="https://investor.incyte.com/news-releases/news-release-details/incyte-report-second-quarter-financial-results-9?utm_source=openai" TargetMode="External" /><Relationship Type="http://schemas.openxmlformats.org/officeDocument/2006/relationships/hyperlink" Id="rId13" Target="https://investor.incyte.com/news-releases/news-release-details/incyte-reports-first-quarter-2026-financial-results-and-provides?utm_source=openai" TargetMode="External" /><Relationship Type="http://schemas.openxmlformats.org/officeDocument/2006/relationships/hyperlink" Id="rId21" Target="https://investor.incyte.com/news-releases/news-release-details/incytes-pivotal-frontmind-trial-showed-tafasitamab?utm_source=openai" TargetMode="External" /><Relationship Type="http://schemas.openxmlformats.org/officeDocument/2006/relationships/hyperlink" Id="rId15" Target="https://www.ema.europa.eu/en/medicines/human/variation/opzelura?utm_source=openai" TargetMode="External" /><Relationship Type="http://schemas.openxmlformats.org/officeDocument/2006/relationships/hyperlink" Id="rId28" Target="https://www.sec.gov/Archives/edgar/data/879169/000087916926000026/incy-20260331.htm?utm_source=openai" TargetMode="External" /><Relationship Type="http://schemas.openxmlformats.org/officeDocument/2006/relationships/hyperlink" Id="rId10" Target="https://www.sec.gov/Archives/edgar/data/879169/000087916926000046/incy-20260622.htm?utm_source=openai" TargetMode="External" /><Relationship Type="http://schemas.openxmlformats.org/officeDocument/2006/relationships/hyperlink" Id="rId12" Target="https://www.zacks.com/stock/news/2960356/incyte-gears-up-to-report-q2-earnings-is-a-beat-around-the-corner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investor.incyte.com/news-releases/news-release-details/incyte-announces-fda-approval-jakafi-xrtm-ruxolitinib-extended?utm_source=openai" TargetMode="External" /><Relationship Type="http://schemas.openxmlformats.org/officeDocument/2006/relationships/hyperlink" Id="rId26" Target="https://investor.incyte.com/news-releases/news-release-details/incyte-announces-new-positive-data-eha-2026-showed-inca033989" TargetMode="External" /><Relationship Type="http://schemas.openxmlformats.org/officeDocument/2006/relationships/hyperlink" Id="rId32" Target="https://investor.incyte.com/news-releases/news-release-details/incyte-completes-acquisition-vega-therapeutics-wholly-owned?utm_source=openai" TargetMode="External" /><Relationship Type="http://schemas.openxmlformats.org/officeDocument/2006/relationships/hyperlink" Id="rId33" Target="https://investor.incyte.com/news-releases/news-release-details/incyte-presents-phase-12-multidose-data-vga039-latarcibart-isth?utm_source=openai" TargetMode="External" /><Relationship Type="http://schemas.openxmlformats.org/officeDocument/2006/relationships/hyperlink" Id="rId9" Target="https://investor.incyte.com/news-releases/news-release-details/incyte-report-second-quarter-financial-results-9?utm_source=openai" TargetMode="External" /><Relationship Type="http://schemas.openxmlformats.org/officeDocument/2006/relationships/hyperlink" Id="rId13" Target="https://investor.incyte.com/news-releases/news-release-details/incyte-reports-first-quarter-2026-financial-results-and-provides?utm_source=openai" TargetMode="External" /><Relationship Type="http://schemas.openxmlformats.org/officeDocument/2006/relationships/hyperlink" Id="rId21" Target="https://investor.incyte.com/news-releases/news-release-details/incytes-pivotal-frontmind-trial-showed-tafasitamab?utm_source=openai" TargetMode="External" /><Relationship Type="http://schemas.openxmlformats.org/officeDocument/2006/relationships/hyperlink" Id="rId15" Target="https://www.ema.europa.eu/en/medicines/human/variation/opzelura?utm_source=openai" TargetMode="External" /><Relationship Type="http://schemas.openxmlformats.org/officeDocument/2006/relationships/hyperlink" Id="rId28" Target="https://www.sec.gov/Archives/edgar/data/879169/000087916926000026/incy-20260331.htm?utm_source=openai" TargetMode="External" /><Relationship Type="http://schemas.openxmlformats.org/officeDocument/2006/relationships/hyperlink" Id="rId10" Target="https://www.sec.gov/Archives/edgar/data/879169/000087916926000046/incy-20260622.htm?utm_source=openai" TargetMode="External" /><Relationship Type="http://schemas.openxmlformats.org/officeDocument/2006/relationships/hyperlink" Id="rId12" Target="https://www.zacks.com/stock/news/2960356/incyte-gears-up-to-report-q2-earnings-is-a-beat-around-the-corner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2026-07-28T00:13:08Z</dcterms:created>
  <dcterms:modified xsi:type="dcterms:W3CDTF">2026-07-28T00:13:08Z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