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c7e0cd1508d69ad47b18a5a05d064eb6ec335"/>
    <w:p>
      <w:pPr>
        <w:pStyle w:val="Heading1"/>
      </w:pPr>
      <w:r>
        <w:t xml:space="preserve">Incyte (NASDAQ: INCY)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event date in the prompt is</w:t>
      </w:r>
      <w:r>
        <w:t xml:space="preserve"> </w:t>
      </w:r>
      <w:r>
        <w:rPr>
          <w:b/>
          <w:bCs/>
        </w:rPr>
        <w:t xml:space="preserve">July 28,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assumes Incyte reports its</w:t>
      </w:r>
      <w:r>
        <w:t xml:space="preserve"> </w:t>
      </w:r>
      <w:r>
        <w:rPr>
          <w:b/>
          <w:bCs/>
        </w:rPr>
        <w:t xml:space="preserve">2Q26 results and hosts its 2026Q2 earnings call on July 28, 2026</w:t>
      </w:r>
      <w:r>
        <w:t xml:space="preserve">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Incyte enters 2Q26 with a strong operating backdrop but an unusually important accounting and guidance issue: its</w:t>
      </w:r>
      <w:r>
        <w:t xml:space="preserve"> </w:t>
      </w:r>
      <w:r>
        <w:rPr>
          <w:b/>
          <w:bCs/>
        </w:rPr>
        <w:t xml:space="preserve">June 22 settlement with CMS regarding Opzelura</w:t>
      </w:r>
      <w:r>
        <w:t xml:space="preserve">. The company disclosed that it expects to record an approximately</w:t>
      </w:r>
      <w:r>
        <w:t xml:space="preserve"> </w:t>
      </w:r>
      <w:r>
        <w:rPr>
          <w:b/>
          <w:bCs/>
        </w:rPr>
        <w:t xml:space="preserve">$246 million one-time, non-cash benefit in 2Q26</w:t>
      </w:r>
      <w:r>
        <w:t xml:space="preserve"> </w:t>
      </w:r>
      <w:r>
        <w:t xml:space="preserve">from reversing prior accruals, and that Opzelura’s ongoing gross-to-net economics should improve. That makes headline GAAP earnings potentially very strong—but investors should focus primarily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scale and durability of the Opzelura gross-to-net benefit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 increase to 2026 sales, operating-income, or EPS expectations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Underlying demand for Jakafi and Opzelura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 momentum in Niktimvo, Monjuvi/Minjuvi, and Zynyz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Status of Jakafi XR and the company’s late-stage pipeline catalysts</w:t>
      </w:r>
    </w:p>
    <w:p>
      <w:pPr>
        <w:pStyle w:val="FirstParagraph"/>
      </w:pPr>
      <w:r>
        <w:t xml:space="preserve">The setup is constructive: INCY closed at</w:t>
      </w:r>
      <w:r>
        <w:t xml:space="preserve"> </w:t>
      </w:r>
      <w:r>
        <w:rPr>
          <w:b/>
          <w:bCs/>
        </w:rPr>
        <w:t xml:space="preserve">$118.90 on July 27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17% year to 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15% since the June 22 CMS settlement disclosure.</w:t>
      </w:r>
      <w:r>
        <w:t xml:space="preserve"> </w:t>
      </w:r>
      <w:r>
        <w:t xml:space="preserve">That performance suggests investors already recognize some value from the settlement, raising the bar for a positive reaction: the company will likely need to demonstrate that the benefit is not merely a one-quarter accounting gain but a meaningful improvement to the long-term Opzelura earnings algorithm.</w:t>
      </w:r>
    </w:p>
    <w:p>
      <w:r>
        <w:pict>
          <v:rect style="width:0;height:1.5pt" o:hralign="center" o:hrstd="t" o:hr="t"/>
        </w:pict>
      </w:r>
    </w:p>
    <w:bookmarkEnd w:id="9"/>
    <w:bookmarkStart w:id="14" w:name="what-matters-most-this-quarter"/>
    <w:p>
      <w:pPr>
        <w:pStyle w:val="Heading2"/>
      </w:pPr>
      <w:r>
        <w:t xml:space="preserve">What matters most this quarter</w:t>
      </w:r>
    </w:p>
    <w:bookmarkStart w:id="10" w:name="Xd5c22fae2df5c36dc5a67504f4726a6bf981e5c"/>
    <w:p>
      <w:pPr>
        <w:pStyle w:val="Heading3"/>
      </w:pPr>
      <w:r>
        <w:t xml:space="preserve">1. CMS–Opzelura settlement: look through the one-time gain</w:t>
      </w:r>
    </w:p>
    <w:p>
      <w:pPr>
        <w:pStyle w:val="FirstParagraph"/>
      </w:pPr>
      <w:r>
        <w:t xml:space="preserve">The June 22 agreement resolved Incyte’s dispute with CMS over the treatment of Opzelura under Medicaid rebate rules. CMS will not apply the line-extension regulation to Opzelura as though it were a line extension of Jakafi.</w:t>
      </w:r>
    </w:p>
    <w:p>
      <w:pPr>
        <w:pStyle w:val="BodyText"/>
      </w:pPr>
      <w:r>
        <w:t xml:space="preserve">Incyte said the agreement should produce:</w:t>
      </w:r>
    </w:p>
    <w:p>
      <w:pPr>
        <w:pStyle w:val="Compact"/>
        <w:numPr>
          <w:ilvl w:val="0"/>
          <w:numId w:val="1002"/>
        </w:numPr>
      </w:pPr>
      <w:r>
        <w:t xml:space="preserve">An approximately</w:t>
      </w:r>
      <w:r>
        <w:t xml:space="preserve"> </w:t>
      </w:r>
      <w:r>
        <w:rPr>
          <w:b/>
          <w:bCs/>
        </w:rPr>
        <w:t xml:space="preserve">$246 million one-time, non-cash benefit in 2Q26</w:t>
      </w:r>
    </w:p>
    <w:p>
      <w:pPr>
        <w:pStyle w:val="Compact"/>
        <w:numPr>
          <w:ilvl w:val="0"/>
          <w:numId w:val="1002"/>
        </w:numPr>
      </w:pPr>
      <w:r>
        <w:t xml:space="preserve">Elimination of further accruals tied to the potential rule application</w:t>
      </w:r>
    </w:p>
    <w:p>
      <w:pPr>
        <w:pStyle w:val="Compact"/>
        <w:numPr>
          <w:ilvl w:val="0"/>
          <w:numId w:val="1002"/>
        </w:numPr>
      </w:pPr>
      <w:r>
        <w:t xml:space="preserve">Better</w:t>
      </w:r>
      <w:r>
        <w:t xml:space="preserve"> </w:t>
      </w:r>
      <w:r>
        <w:rPr>
          <w:b/>
          <w:bCs/>
        </w:rPr>
        <w:t xml:space="preserve">Opzelura gross-to-net</w:t>
      </w:r>
      <w:r>
        <w:t xml:space="preserve"> </w:t>
      </w:r>
      <w:r>
        <w:t xml:space="preserve">on a forward basis</w:t>
      </w:r>
    </w:p>
    <w:p>
      <w:pPr>
        <w:pStyle w:val="Compact"/>
        <w:numPr>
          <w:ilvl w:val="0"/>
          <w:numId w:val="1002"/>
        </w:numPr>
      </w:pPr>
      <w:r>
        <w:t xml:space="preserve">An update to financial guidance at the next earnings release</w:t>
      </w:r>
    </w:p>
    <w:p>
      <w:pPr>
        <w:pStyle w:val="FirstParagraph"/>
      </w:pPr>
      <w:r>
        <w:t xml:space="preserve">This is the central issue for the call. The headline benefit itself has already been disclosed, so the key incremental information is likely to be:</w:t>
      </w:r>
    </w:p>
    <w:p>
      <w:pPr>
        <w:pStyle w:val="Compact"/>
        <w:numPr>
          <w:ilvl w:val="0"/>
          <w:numId w:val="1003"/>
        </w:numPr>
      </w:pPr>
      <w:r>
        <w:t xml:space="preserve">How much of the benefit is embedded in 2Q reported results;</w:t>
      </w:r>
    </w:p>
    <w:p>
      <w:pPr>
        <w:pStyle w:val="Compact"/>
        <w:numPr>
          <w:ilvl w:val="0"/>
          <w:numId w:val="1003"/>
        </w:numPr>
      </w:pPr>
      <w:r>
        <w:t xml:space="preserve">Whether management changes</w:t>
      </w:r>
      <w:r>
        <w:t xml:space="preserve"> </w:t>
      </w:r>
      <w:r>
        <w:rPr>
          <w:b/>
          <w:bCs/>
        </w:rPr>
        <w:t xml:space="preserve">full-year revenue guidance</w:t>
      </w:r>
      <w:r>
        <w:t xml:space="preserve">, particularly Opzelura guidance;</w:t>
      </w:r>
    </w:p>
    <w:p>
      <w:pPr>
        <w:pStyle w:val="Compact"/>
        <w:numPr>
          <w:ilvl w:val="0"/>
          <w:numId w:val="1003"/>
        </w:numPr>
      </w:pPr>
      <w:r>
        <w:t xml:space="preserve">Whether it raises operating-margin or EPS expectations;</w:t>
      </w:r>
    </w:p>
    <w:p>
      <w:pPr>
        <w:pStyle w:val="Compact"/>
        <w:numPr>
          <w:ilvl w:val="0"/>
          <w:numId w:val="1003"/>
        </w:numPr>
      </w:pPr>
      <w:r>
        <w:t xml:space="preserve">The expected ongoing gross-to-net improvement beginning in 2H26 and beyond; and</w:t>
      </w:r>
    </w:p>
    <w:p>
      <w:pPr>
        <w:pStyle w:val="Compact"/>
        <w:numPr>
          <w:ilvl w:val="0"/>
          <w:numId w:val="1003"/>
        </w:numPr>
      </w:pPr>
      <w:r>
        <w:t xml:space="preserve">Whether the settlement changes pricing, payer access, or commercial-investment priorities for Opzelura.</w:t>
      </w:r>
    </w:p>
    <w:p>
      <w:pPr>
        <w:pStyle w:val="FirstParagraph"/>
      </w:pPr>
      <w:r>
        <w:rPr>
          <w:b/>
          <w:bCs/>
        </w:rPr>
        <w:t xml:space="preserve">Investor interpretation:</w:t>
      </w:r>
      <w:r>
        <w:t xml:space="preserve"> </w:t>
      </w:r>
      <w:r>
        <w:t xml:space="preserve">A sizable EPS beat driven solely by the $246 million reversal should be treated differently from a guidance increase supported by recurring Opzelura economics. The latter would be the more important valuation-positive outcome.</w:t>
      </w:r>
    </w:p>
    <w:p>
      <w:pPr>
        <w:pStyle w:val="BodyText"/>
      </w:pPr>
      <w:r>
        <w:rPr>
          <w:i/>
          <w:iCs/>
        </w:rPr>
        <w:t xml:space="preserve">Source: Incyte Form 8-K, June 22, 2026.</w:t>
      </w:r>
    </w:p>
    <w:p>
      <w:r>
        <w:pict>
          <v:rect style="width:0;height:1.5pt" o:hralign="center" o:hrstd="t" o:hr="t"/>
        </w:pict>
      </w:r>
    </w:p>
    <w:bookmarkEnd w:id="10"/>
    <w:bookmarkStart w:id="11" w:name="Xcef68768f62edc339fbe91c69d5d6516cc65e7b"/>
    <w:p>
      <w:pPr>
        <w:pStyle w:val="Heading3"/>
      </w:pPr>
      <w:r>
        <w:t xml:space="preserve">2. Opzelura: demand growth plus the settlement’s recurring economics</w:t>
      </w:r>
    </w:p>
    <w:p>
      <w:pPr>
        <w:pStyle w:val="FirstParagraph"/>
      </w:pPr>
      <w:r>
        <w:t xml:space="preserve">Opzelura remains Incyte’s most important non-Jakafi commercial asset. In 1Q26, it generated</w:t>
      </w:r>
      <w:r>
        <w:t xml:space="preserve"> </w:t>
      </w:r>
      <m:oMath>
        <m:r>
          <m:t>143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,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20</m:t>
        </m:r>
      </m:oMath>
      <w:r>
        <w:rPr>
          <w:b/>
          <w:bCs/>
        </w:rPr>
        <w:t xml:space="preserve">106 million</w:t>
      </w:r>
      <w:r>
        <w:t xml:space="preserve">, while international sales were</w:t>
      </w:r>
      <w:r>
        <w:t xml:space="preserve"> </w:t>
      </w:r>
      <w:r>
        <w:rPr>
          <w:b/>
          <w:bCs/>
        </w:rPr>
        <w:t xml:space="preserve">$37 million</w:t>
      </w:r>
      <w:r>
        <w:t xml:space="preserve">, up</w:t>
      </w:r>
      <w:r>
        <w:t xml:space="preserve"> </w:t>
      </w:r>
      <w:r>
        <w:rPr>
          <w:b/>
          <w:bCs/>
        </w:rPr>
        <w:t xml:space="preserve">56% year over year</w:t>
      </w:r>
      <w:r>
        <w:t xml:space="preserve">. Management attributed growth to demand in both atopic dermatitis and vitiligo.</w:t>
      </w:r>
    </w:p>
    <w:p>
      <w:pPr>
        <w:pStyle w:val="BodyText"/>
      </w:pPr>
      <w:r>
        <w:t xml:space="preserve">For 2026, Incyte’s prior Opzelura net-sales guide was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790 million</w:t>
      </w:r>
      <w:r>
        <w:t xml:space="preserve">. After 1Q, that implied</w:t>
      </w:r>
      <w:r>
        <w:t xml:space="preserve"> </w:t>
      </w:r>
      <m:oMath>
        <m:r>
          <m:t>607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647 million</w:t>
      </w:r>
      <w:r>
        <w:t xml:space="preserve"> </w:t>
      </w:r>
      <w:r>
        <w:t xml:space="preserve">still required across the final three quarters, or roughly</w:t>
      </w:r>
      <w:r>
        <w:t xml:space="preserve"> </w:t>
      </w:r>
      <m:oMath>
        <m:r>
          <m:t>202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216 million per quarter on average</w:t>
      </w:r>
      <w:r>
        <w:t xml:space="preserve">. That is not a 2Q forecast—seasonality and the accounting impact matter—but it illustrates why the second half needs to show a higher Opzelura run rate than 1Q.</w:t>
      </w:r>
    </w:p>
    <w:p>
      <w:pPr>
        <w:pStyle w:val="BodyText"/>
      </w:pPr>
      <w:r>
        <w:rPr>
          <w:b/>
          <w:bCs/>
        </w:rPr>
        <w:t xml:space="preserve">Questions for the call</w:t>
      </w:r>
    </w:p>
    <w:p>
      <w:pPr>
        <w:pStyle w:val="Compact"/>
        <w:numPr>
          <w:ilvl w:val="0"/>
          <w:numId w:val="1004"/>
        </w:numPr>
      </w:pPr>
      <w:r>
        <w:t xml:space="preserve">Did underlying U.S. prescription demand remain in the mid-teens or better?</w:t>
      </w:r>
    </w:p>
    <w:p>
      <w:pPr>
        <w:pStyle w:val="Compact"/>
        <w:numPr>
          <w:ilvl w:val="0"/>
          <w:numId w:val="1004"/>
        </w:numPr>
      </w:pPr>
      <w:r>
        <w:t xml:space="preserve">Did international vitiligo growth remain robust?</w:t>
      </w:r>
    </w:p>
    <w:p>
      <w:pPr>
        <w:pStyle w:val="Compact"/>
        <w:numPr>
          <w:ilvl w:val="0"/>
          <w:numId w:val="1004"/>
        </w:numPr>
      </w:pPr>
      <w:r>
        <w:t xml:space="preserve">What is the practical, recurring benefit to net sales from improved gross-to-net?</w:t>
      </w:r>
    </w:p>
    <w:p>
      <w:pPr>
        <w:pStyle w:val="Compact"/>
        <w:numPr>
          <w:ilvl w:val="0"/>
          <w:numId w:val="1004"/>
        </w:numPr>
      </w:pPr>
      <w:r>
        <w:t xml:space="preserve">Is European approval for moderate atopic dermatitis still anticipated in 2H26?</w:t>
      </w:r>
    </w:p>
    <w:p>
      <w:pPr>
        <w:pStyle w:val="Compact"/>
        <w:numPr>
          <w:ilvl w:val="0"/>
          <w:numId w:val="1004"/>
        </w:numPr>
      </w:pPr>
      <w:r>
        <w:t xml:space="preserve">Does management now see a clearer path for Opzelura to exceed the prior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790 million 2026 sales range?</w:t>
      </w:r>
    </w:p>
    <w:p>
      <w:pPr>
        <w:pStyle w:val="FirstParagraph"/>
      </w:pPr>
      <w:r>
        <w:t xml:space="preserve">Management previously highlighted that Opzelura had captured</w:t>
      </w:r>
      <w:r>
        <w:t xml:space="preserve"> </w:t>
      </w:r>
      <w:r>
        <w:rPr>
          <w:b/>
          <w:bCs/>
        </w:rPr>
        <w:t xml:space="preserve">46% of U.S. new patient starts</w:t>
      </w:r>
      <w:r>
        <w:t xml:space="preserve"> </w:t>
      </w:r>
      <w:r>
        <w:t xml:space="preserve">within its relevant branded topical market during 1Q, with new-patient-start volume up more than 30% year over year. Maintaining that demand profile would reinforce the view that Opzelura’s growth is demand-led rather than purely accounting-driven.</w:t>
      </w:r>
    </w:p>
    <w:p>
      <w:pPr>
        <w:pStyle w:val="BodyText"/>
      </w:pPr>
      <w:r>
        <w:rPr>
          <w:i/>
          <w:iCs/>
        </w:rPr>
        <w:t xml:space="preserve">Sources: Incyte 1Q26 earnings release and earnings-call transcript, April 28, 2026; Incyte Form 8-K, June 22, 2026.</w:t>
      </w:r>
    </w:p>
    <w:p>
      <w:r>
        <w:pict>
          <v:rect style="width:0;height:1.5pt" o:hralign="center" o:hrstd="t" o:hr="t"/>
        </w:pict>
      </w:r>
    </w:p>
    <w:bookmarkEnd w:id="11"/>
    <w:bookmarkStart w:id="12" w:name="X08a71beab0ee19103a0f61e26168dc2f2f5ffa1"/>
    <w:p>
      <w:pPr>
        <w:pStyle w:val="Heading3"/>
      </w:pPr>
      <w:r>
        <w:t xml:space="preserve">3. Jakafi: durability today, XR as the next lifecycle lever</w:t>
      </w:r>
    </w:p>
    <w:p>
      <w:pPr>
        <w:pStyle w:val="FirstParagraph"/>
      </w:pPr>
      <w:r>
        <w:t xml:space="preserve">Jakafi remains the earnings base of the company. In 1Q26, sales were</w:t>
      </w:r>
      <w:r>
        <w:t xml:space="preserve"> </w:t>
      </w:r>
      <w:r>
        <w:rPr>
          <w:b/>
          <w:bCs/>
        </w:rPr>
        <w:t xml:space="preserve">$758 million</w:t>
      </w:r>
      <w:r>
        <w:t xml:space="preserve">, up</w:t>
      </w:r>
      <w:r>
        <w:t xml:space="preserve"> </w:t>
      </w:r>
      <w:r>
        <w:rPr>
          <w:b/>
          <w:bCs/>
        </w:rPr>
        <w:t xml:space="preserve">7% year over year</w:t>
      </w:r>
      <w:r>
        <w:t xml:space="preserve">, with paid demand up</w:t>
      </w:r>
      <w:r>
        <w:t xml:space="preserve"> </w:t>
      </w:r>
      <w:r>
        <w:rPr>
          <w:b/>
          <w:bCs/>
        </w:rPr>
        <w:t xml:space="preserve">6%</w:t>
      </w:r>
      <w:r>
        <w:t xml:space="preserve"> </w:t>
      </w:r>
      <w:r>
        <w:t xml:space="preserve">and growth across myelofibrosis, polycythemia vera, and graft-versus-host-disease indications.</w:t>
      </w:r>
    </w:p>
    <w:p>
      <w:pPr>
        <w:pStyle w:val="BodyText"/>
      </w:pPr>
      <w:r>
        <w:t xml:space="preserve">The company’s 2026 Jakafi guide was</w:t>
      </w:r>
      <w:r>
        <w:t xml:space="preserve"> </w:t>
      </w:r>
      <m:oMath>
        <m:r>
          <m:t>3.22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3.27 billion</w:t>
      </w:r>
      <w:r>
        <w:t xml:space="preserve">. After 1Q, that leaves</w:t>
      </w:r>
      <w:r>
        <w:t xml:space="preserve"> </w:t>
      </w:r>
      <m:oMath>
        <m:r>
          <m:t>2.46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2.51 billion</w:t>
      </w:r>
      <w:r>
        <w:t xml:space="preserve"> </w:t>
      </w:r>
      <w:r>
        <w:t xml:space="preserve">for the remaining three quarters—an average of roughly</w:t>
      </w:r>
      <w:r>
        <w:t xml:space="preserve"> </w:t>
      </w:r>
      <m:oMath>
        <m:r>
          <m:t>821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837 million per quarter</w:t>
      </w:r>
      <w:r>
        <w:t xml:space="preserve">. That bridge places particular importance on demand sustainability and the anticipated</w:t>
      </w:r>
      <w:r>
        <w:t xml:space="preserve"> </w:t>
      </w:r>
      <w:r>
        <w:rPr>
          <w:b/>
          <w:bCs/>
        </w:rPr>
        <w:t xml:space="preserve">Jakafi XR</w:t>
      </w:r>
      <w:r>
        <w:t xml:space="preserve"> </w:t>
      </w:r>
      <w:r>
        <w:t xml:space="preserve">launch.</w:t>
      </w:r>
    </w:p>
    <w:p>
      <w:pPr>
        <w:pStyle w:val="BodyText"/>
      </w:pPr>
      <w:r>
        <w:t xml:space="preserve">Management expected a U.S. regulatory decision and potential commercial launch of Jakafi XR in mid-2026, and has said XR could represent</w:t>
      </w:r>
      <w:r>
        <w:t xml:space="preserve"> </w:t>
      </w:r>
      <w:r>
        <w:rPr>
          <w:b/>
          <w:bCs/>
        </w:rPr>
        <w:t xml:space="preserve">10%–30% of the Jakafi franchise by 2029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investors need to hear</w:t>
      </w:r>
    </w:p>
    <w:p>
      <w:pPr>
        <w:pStyle w:val="Compact"/>
        <w:numPr>
          <w:ilvl w:val="0"/>
          <w:numId w:val="1005"/>
        </w:numPr>
      </w:pPr>
      <w:r>
        <w:t xml:space="preserve">Has Jakafi XR been approved, and if so, what is the launch timing?</w:t>
      </w:r>
    </w:p>
    <w:p>
      <w:pPr>
        <w:pStyle w:val="Compact"/>
        <w:numPr>
          <w:ilvl w:val="0"/>
          <w:numId w:val="1005"/>
        </w:numPr>
      </w:pPr>
      <w:r>
        <w:t xml:space="preserve">Is formulary access progressing as planned?</w:t>
      </w:r>
    </w:p>
    <w:p>
      <w:pPr>
        <w:pStyle w:val="Compact"/>
        <w:numPr>
          <w:ilvl w:val="0"/>
          <w:numId w:val="1005"/>
        </w:numPr>
      </w:pPr>
      <w:r>
        <w:t xml:space="preserve">Are existing Jakafi demand trends still broad-based?</w:t>
      </w:r>
    </w:p>
    <w:p>
      <w:pPr>
        <w:pStyle w:val="Compact"/>
        <w:numPr>
          <w:ilvl w:val="0"/>
          <w:numId w:val="1005"/>
        </w:numPr>
      </w:pPr>
      <w:r>
        <w:t xml:space="preserve">Does the company see XR as incremental, protective against future franchise erosion, or both?</w:t>
      </w:r>
    </w:p>
    <w:p>
      <w:pPr>
        <w:pStyle w:val="FirstParagraph"/>
      </w:pPr>
      <w:r>
        <w:t xml:space="preserve">A clean Jakafi quarter matters because it funds the company’s expanding late-stage development investment. Any material slowdown would overshadow otherwise favorable Opzelura accounting.</w:t>
      </w:r>
    </w:p>
    <w:p>
      <w:pPr>
        <w:pStyle w:val="BodyText"/>
      </w:pPr>
      <w:r>
        <w:rPr>
          <w:i/>
          <w:iCs/>
        </w:rPr>
        <w:t xml:space="preserve">Sources: Incyte 1Q26 earnings release and earnings-call transcript, April 28, 2026.</w:t>
      </w:r>
    </w:p>
    <w:p>
      <w:r>
        <w:pict>
          <v:rect style="width:0;height:1.5pt" o:hralign="center" o:hrstd="t" o:hr="t"/>
        </w:pict>
      </w:r>
    </w:p>
    <w:bookmarkEnd w:id="12"/>
    <w:bookmarkStart w:id="13" w:name="Xc2ebebc15ab17cdcb60f2c8958783234e92a705"/>
    <w:p>
      <w:pPr>
        <w:pStyle w:val="Heading3"/>
      </w:pPr>
      <w:r>
        <w:t xml:space="preserve">4. Hematology and oncology portfolio: prove diversification is commercial, not just aspirational</w:t>
      </w:r>
    </w:p>
    <w:p>
      <w:pPr>
        <w:pStyle w:val="FirstParagraph"/>
      </w:pPr>
      <w:r>
        <w:t xml:space="preserve">Incyte’s hematology and oncology portfolio generated</w:t>
      </w:r>
      <w:r>
        <w:t xml:space="preserve"> </w:t>
      </w:r>
      <m:oMath>
        <m:r>
          <m:t>204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rPr>
            <m:sty m:val="p"/>
          </m:rPr>
          <m:t>,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116</m:t>
        </m:r>
      </m:oMath>
      <w:r>
        <w:rPr>
          <w:b/>
          <w:bCs/>
        </w:rPr>
        <w:t xml:space="preserve">800 million–</w:t>
      </w:r>
      <m:oMath>
        <m:r>
          <m:t>880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199 million–$225 million per quarter</w:t>
      </w:r>
      <w:r>
        <w:t xml:space="preserve"> </w:t>
      </w:r>
      <w:r>
        <w:t xml:space="preserve">across 2Q–4Q after the $204 million first quarter.</w:t>
      </w:r>
    </w:p>
    <w:p>
      <w:pPr>
        <w:pStyle w:val="BodyText"/>
      </w:pPr>
      <w:r>
        <w:t xml:space="preserve">Key 1Q product data: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growth</w:t>
            </w:r>
          </w:p>
        </w:tc>
        <w:tc>
          <w:tcPr/>
          <w:p>
            <w:pPr>
              <w:pStyle w:val="Compact"/>
            </w:pPr>
            <w:r>
              <w:t xml:space="preserve">What to watch in 2Q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Niktimvo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305%</w:t>
            </w:r>
          </w:p>
        </w:tc>
        <w:tc>
          <w:tcPr/>
          <w:p>
            <w:pPr>
              <w:pStyle w:val="Compact"/>
            </w:pPr>
            <w:r>
              <w:t xml:space="preserve">New patient starts, repeat use, duration/persistence, partner economics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Monjuvi / Minjuvi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67%</w:t>
            </w:r>
          </w:p>
        </w:tc>
        <w:tc>
          <w:tcPr/>
          <w:p>
            <w:pPr>
              <w:pStyle w:val="Compact"/>
            </w:pPr>
            <w:r>
              <w:t xml:space="preserve">Follicular lymphoma uptake and path toward potential 1L DLBCL launch in 2027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Zynyz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$41M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1,276%</w:t>
            </w:r>
          </w:p>
        </w:tc>
        <w:tc>
          <w:tcPr/>
          <w:p>
            <w:pPr>
              <w:pStyle w:val="Compact"/>
            </w:pPr>
            <w:r>
              <w:t xml:space="preserve">Adoption in squamous cell carcinoma of the anal canal and international expansion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Iclusig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$35M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t xml:space="preserve">European demand and FX-adjusted trajectory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Pemazyre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</w:t>
            </w:r>
          </w:p>
        </w:tc>
        <w:tc>
          <w:tcPr/>
          <w:p>
            <w:pPr>
              <w:pStyle w:val="Compact"/>
            </w:pPr>
            <w:r>
              <w:t xml:space="preserve">Stability in smaller oncology base</w:t>
            </w:r>
          </w:p>
        </w:tc>
      </w:tr>
    </w:tbl>
    <w:p>
      <w:pPr>
        <w:pStyle w:val="BodyText"/>
      </w:pPr>
      <w:r>
        <w:t xml:space="preserve">Niktimvo is particularly important. Management said it had reached</w:t>
      </w:r>
      <w:r>
        <w:t xml:space="preserve"> </w:t>
      </w:r>
      <w:r>
        <w:rPr>
          <w:b/>
          <w:bCs/>
        </w:rPr>
        <w:t xml:space="preserve">32% share of the third-line-plus chronic GVHD market</w:t>
      </w:r>
      <w:r>
        <w:t xml:space="preserve"> </w:t>
      </w:r>
      <w:r>
        <w:t xml:space="preserve">within roughly a year of launch, with broad utilization across U.S. transplant centers. Sustained execution could make it a meaningful contributor to the company’s non-Jakafi growth profile.</w:t>
      </w:r>
    </w:p>
    <w:p>
      <w:pPr>
        <w:pStyle w:val="BodyText"/>
      </w:pPr>
      <w:r>
        <w:rPr>
          <w:i/>
          <w:iCs/>
        </w:rPr>
        <w:t xml:space="preserve">Source: Incyte 1Q26 earnings release and earnings-call transcript, April 28, 2026.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guidance-the-major-swing-factor"/>
    <w:p>
      <w:pPr>
        <w:pStyle w:val="Heading2"/>
      </w:pPr>
      <w:r>
        <w:t xml:space="preserve">Guidance: the major swing factor</w:t>
      </w:r>
    </w:p>
    <w:p>
      <w:pPr>
        <w:pStyle w:val="FirstParagraph"/>
      </w:pPr>
      <w:r>
        <w:t xml:space="preserve">Before the CMS settlement, Incyte reaffirmed the following 2026 guidance: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Prior 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4.77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4.94B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Jakafi 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3.22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3.27B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Opzelura 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750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790M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Hematology &amp; Oncology 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800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880M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R&amp;D + SG&amp;A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3.495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3.675B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R&amp;D + SG&amp;A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3.205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3.375B</w:t>
            </w:r>
          </w:p>
        </w:tc>
      </w:tr>
    </w:tbl>
    <w:p>
      <w:pPr>
        <w:pStyle w:val="BodyText"/>
      </w:pPr>
      <w:r>
        <w:t xml:space="preserve">Management explicitly said it planned to update guidance following the Opzelura settlement. The outcome could take several forms: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Increased Opzelura and total-sales guidance, better expected gross margin, and a meaningful lift to GAAP profitability.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Constructive but less dramatic:</w:t>
      </w:r>
      <w:r>
        <w:t xml:space="preserve"> </w:t>
      </w:r>
      <w:r>
        <w:t xml:space="preserve">Limited sales-guide changes, but a clear quantification of recurring gross-to-net improvement and higher EPS/operating-income expectations.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Disappointing:</w:t>
      </w:r>
      <w:r>
        <w:t xml:space="preserve"> </w:t>
      </w:r>
      <w:r>
        <w:t xml:space="preserve">The $246 million accounting benefit appears largely isolated, while underlying commercial guidance remains unchanged or is offset by higher R&amp;D, launch, or gross-to-net investment.</w:t>
      </w:r>
    </w:p>
    <w:p>
      <w:pPr>
        <w:pStyle w:val="FirstParagraph"/>
      </w:pPr>
      <w:r>
        <w:t xml:space="preserve">The most relevant measure is not simply whether guidance rises, but</w:t>
      </w:r>
      <w:r>
        <w:t xml:space="preserve"> </w:t>
      </w:r>
      <w:r>
        <w:rPr>
          <w:b/>
          <w:bCs/>
        </w:rPr>
        <w:t xml:space="preserve">how much of any improvement is recurring versus one-time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8" w:name="pipeline-and-strategic-catalysts"/>
    <w:p>
      <w:pPr>
        <w:pStyle w:val="Heading2"/>
      </w:pPr>
      <w:r>
        <w:t xml:space="preserve">Pipeline and strategic catalysts</w:t>
      </w:r>
    </w:p>
    <w:bookmarkStart w:id="16" w:name="nearer-term-updates-to-monitor"/>
    <w:p>
      <w:pPr>
        <w:pStyle w:val="Heading3"/>
      </w:pPr>
      <w:r>
        <w:t xml:space="preserve">Nearer-term updates to monitor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Jakafi XR:</w:t>
      </w:r>
      <w:r>
        <w:t xml:space="preserve"> </w:t>
      </w:r>
      <w:r>
        <w:t xml:space="preserve">Expected U.S. decision and potential launch in mid-2026.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Opzelura in European moderate atopic dermatitis:</w:t>
      </w:r>
      <w:r>
        <w:t xml:space="preserve"> </w:t>
      </w:r>
      <w:r>
        <w:t xml:space="preserve">Regulatory decision expected in 2H26.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Povorcitinib in hidradenitis suppurativa:</w:t>
      </w:r>
      <w:r>
        <w:t xml:space="preserve"> </w:t>
      </w:r>
      <w:r>
        <w:t xml:space="preserve">Potential EU approval in late 2026 and U.S. approval/launch anticipated in 1Q27.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Niktimvo + ruxolitinib in frontline chronic GVHD:</w:t>
      </w:r>
      <w:r>
        <w:t xml:space="preserve"> </w:t>
      </w:r>
      <w:r>
        <w:t xml:space="preserve">Phase 2 data expected in 2H26.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INCA033989, mutant-CALR program:</w:t>
      </w:r>
      <w:r>
        <w:t xml:space="preserve"> </w:t>
      </w:r>
      <w:r>
        <w:t xml:space="preserve">Updates in essential thrombocythemia and myelofibrosis remain important for Incyte’s post-Jakafi hematology strategy.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INCB161734, KRAS G12D inhibitor:</w:t>
      </w:r>
      <w:r>
        <w:t xml:space="preserve"> </w:t>
      </w:r>
      <w:r>
        <w:t xml:space="preserve">Further Phase 1 combination data in first-line pancreatic cancer are expected in 2H26.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Povorcitinib in prurigo nodularis and Opzelura in mild-to-moderate HS:</w:t>
      </w:r>
      <w:r>
        <w:t xml:space="preserve"> </w:t>
      </w:r>
      <w:r>
        <w:t xml:space="preserve">Top-line results expected in 4Q26.</w:t>
      </w:r>
    </w:p>
    <w:bookmarkEnd w:id="16"/>
    <w:bookmarkStart w:id="17" w:name="Xb85786a502cd405e4ceaad14056a12d8b61483d"/>
    <w:p>
      <w:pPr>
        <w:pStyle w:val="Heading3"/>
      </w:pPr>
      <w:r>
        <w:t xml:space="preserve">Why povorcitinib remains strategically important</w:t>
      </w:r>
    </w:p>
    <w:p>
      <w:pPr>
        <w:pStyle w:val="FirstParagraph"/>
      </w:pPr>
      <w:r>
        <w:t xml:space="preserve">Incyte’s HS application for povorcitinib has already been accepted by the FDA. Management believes it could become the first approved oral anti-inflammatory therapy for HS, a market it estimates includes more than</w:t>
      </w:r>
      <w:r>
        <w:t xml:space="preserve"> </w:t>
      </w:r>
      <w:r>
        <w:rPr>
          <w:b/>
          <w:bCs/>
        </w:rPr>
        <w:t xml:space="preserve">300,000 U.S. patients</w:t>
      </w:r>
      <w:r>
        <w:t xml:space="preserve">. In 1Q commentary, management cited a potential</w:t>
      </w:r>
      <w:r>
        <w:t xml:space="preserve"> </w:t>
      </w:r>
      <m:oMath>
        <m:r>
          <m:t>500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 billion peak-sales opportunity</w:t>
      </w:r>
      <w:r>
        <w:t xml:space="preserve"> </w:t>
      </w:r>
      <w:r>
        <w:t xml:space="preserve">for the asset.</w:t>
      </w:r>
    </w:p>
    <w:p>
      <w:pPr>
        <w:pStyle w:val="BodyText"/>
      </w:pPr>
      <w:r>
        <w:t xml:space="preserve">The 2Q call is unlikely to deliver a major new regulatory outcome for povorcitinib, but investors should listen for launch-preparedness details, label expectations, and any change in timing.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X65b9ab6eb8e1c809236861cbd72b28e65a7d1d3"/>
    <w:p>
      <w:pPr>
        <w:pStyle w:val="Heading2"/>
      </w:pPr>
      <w:r>
        <w:t xml:space="preserve">Earnings setup and likely share-price drivers</w:t>
      </w:r>
    </w:p>
    <w:bookmarkStart w:id="19" w:name="what-could-drive-upside"/>
    <w:p>
      <w:pPr>
        <w:pStyle w:val="Heading3"/>
      </w:pPr>
      <w:r>
        <w:t xml:space="preserve">What could drive upside</w:t>
      </w:r>
    </w:p>
    <w:p>
      <w:pPr>
        <w:pStyle w:val="Compact"/>
        <w:numPr>
          <w:ilvl w:val="0"/>
          <w:numId w:val="1008"/>
        </w:numPr>
      </w:pPr>
      <w:r>
        <w:t xml:space="preserve">Higher 2026 guidance reflecting both recurring Opzelura gross-to-net benefit and healthy demand;</w:t>
      </w:r>
    </w:p>
    <w:p>
      <w:pPr>
        <w:pStyle w:val="Compact"/>
        <w:numPr>
          <w:ilvl w:val="0"/>
          <w:numId w:val="1008"/>
        </w:numPr>
      </w:pPr>
      <w:r>
        <w:t xml:space="preserve">Opzelura sales above expectations, particularly if prescription growth remains strong;</w:t>
      </w:r>
    </w:p>
    <w:p>
      <w:pPr>
        <w:pStyle w:val="Compact"/>
        <w:numPr>
          <w:ilvl w:val="0"/>
          <w:numId w:val="1008"/>
        </w:numPr>
      </w:pPr>
      <w:r>
        <w:t xml:space="preserve">Jakafi durability and confirmation of Jakafi XR approval/launch progress;</w:t>
      </w:r>
    </w:p>
    <w:p>
      <w:pPr>
        <w:pStyle w:val="Compact"/>
        <w:numPr>
          <w:ilvl w:val="0"/>
          <w:numId w:val="1008"/>
        </w:numPr>
      </w:pPr>
      <w:r>
        <w:t xml:space="preserve">Continued Niktimvo, Monjuvi, and Zynyz outperformance;</w:t>
      </w:r>
    </w:p>
    <w:p>
      <w:pPr>
        <w:pStyle w:val="Compact"/>
        <w:numPr>
          <w:ilvl w:val="0"/>
          <w:numId w:val="1008"/>
        </w:numPr>
      </w:pPr>
      <w:r>
        <w:t xml:space="preserve">Clear expense discipline despite a large late-stage clinical portfolio;</w:t>
      </w:r>
    </w:p>
    <w:p>
      <w:pPr>
        <w:pStyle w:val="Compact"/>
        <w:numPr>
          <w:ilvl w:val="0"/>
          <w:numId w:val="1008"/>
        </w:numPr>
      </w:pPr>
      <w:r>
        <w:t xml:space="preserve">More specific commercialization commentary around povorcitinib.</w:t>
      </w:r>
    </w:p>
    <w:bookmarkEnd w:id="19"/>
    <w:bookmarkStart w:id="20" w:name="what-could-drive-downside"/>
    <w:p>
      <w:pPr>
        <w:pStyle w:val="Heading3"/>
      </w:pPr>
      <w:r>
        <w:t xml:space="preserve">What could drive downside</w:t>
      </w:r>
    </w:p>
    <w:p>
      <w:pPr>
        <w:pStyle w:val="Compact"/>
        <w:numPr>
          <w:ilvl w:val="0"/>
          <w:numId w:val="1009"/>
        </w:numPr>
      </w:pPr>
      <w:r>
        <w:t xml:space="preserve">A strong headline EPS result that proves mostly non-recurring;</w:t>
      </w:r>
    </w:p>
    <w:p>
      <w:pPr>
        <w:pStyle w:val="Compact"/>
        <w:numPr>
          <w:ilvl w:val="0"/>
          <w:numId w:val="1009"/>
        </w:numPr>
      </w:pPr>
      <w:r>
        <w:t xml:space="preserve">No meaningful increase to sales or profitability guidance despite the CMS settlement;</w:t>
      </w:r>
    </w:p>
    <w:p>
      <w:pPr>
        <w:pStyle w:val="Compact"/>
        <w:numPr>
          <w:ilvl w:val="0"/>
          <w:numId w:val="1009"/>
        </w:numPr>
      </w:pPr>
      <w:r>
        <w:t xml:space="preserve">Opzelura demand or net sales below the implied second-half ramp;</w:t>
      </w:r>
    </w:p>
    <w:p>
      <w:pPr>
        <w:pStyle w:val="Compact"/>
        <w:numPr>
          <w:ilvl w:val="0"/>
          <w:numId w:val="1009"/>
        </w:numPr>
      </w:pPr>
      <w:r>
        <w:t xml:space="preserve">Jakafi weakness, inventory issues, or a less favorable Jakafi XR timing update;</w:t>
      </w:r>
    </w:p>
    <w:p>
      <w:pPr>
        <w:pStyle w:val="Compact"/>
        <w:numPr>
          <w:ilvl w:val="0"/>
          <w:numId w:val="1009"/>
        </w:numPr>
      </w:pPr>
      <w:r>
        <w:t xml:space="preserve">Higher R&amp;D or SG&amp;A spending that absorbs settlement-related upside;</w:t>
      </w:r>
    </w:p>
    <w:p>
      <w:pPr>
        <w:pStyle w:val="Compact"/>
        <w:numPr>
          <w:ilvl w:val="0"/>
          <w:numId w:val="1009"/>
        </w:numPr>
      </w:pPr>
      <w:r>
        <w:t xml:space="preserve">Delays in regulatory, launch, or clinical timelines.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takeaway"/>
    <w:p>
      <w:pPr>
        <w:pStyle w:val="Heading2"/>
      </w:pPr>
      <w:r>
        <w:t xml:space="preserve">Takeaway</w:t>
      </w:r>
    </w:p>
    <w:p>
      <w:pPr>
        <w:pStyle w:val="FirstParagraph"/>
      </w:pPr>
      <w:r>
        <w:rPr>
          <w:b/>
          <w:bCs/>
        </w:rPr>
        <w:t xml:space="preserve">INCY’s 2Q26 report is less about whether it beats on EPS and more about whether the CMS settlement structurally improves the company’s medium-term growth and margin profile.</w:t>
      </w:r>
      <w:r>
        <w:t xml:space="preserve"> </w:t>
      </w:r>
      <w:r>
        <w:t xml:space="preserve">The one-time $246 million accounting benefit is known; the investment debate is whether Incyte can convert the resulting Opzelura economics into higher durable revenue, better profitability, and additional capacity to fund its increasingly broad late-stage pipeline.</w:t>
      </w:r>
    </w:p>
    <w:p>
      <w:pPr>
        <w:pStyle w:val="BodyText"/>
      </w:pPr>
      <w:r>
        <w:t xml:space="preserve">A favorable report would pair an upgraded outlook with continued commercial strength in</w:t>
      </w:r>
      <w:r>
        <w:t xml:space="preserve"> </w:t>
      </w:r>
      <w:r>
        <w:rPr>
          <w:b/>
          <w:bCs/>
        </w:rPr>
        <w:t xml:space="preserve">Opzelura, Jakafi, and Niktimvo</w:t>
      </w:r>
      <w:r>
        <w:t xml:space="preserve">. A weaker outcome would be one where the settlement dominates reported earnings but does not materially change the underlying 2026–27 trajectory.</w:t>
      </w:r>
    </w:p>
    <w:p>
      <w:pPr>
        <w:pStyle w:val="BodyText"/>
      </w:pPr>
      <w:r>
        <w:rPr>
          <w:i/>
          <w:iCs/>
        </w:rPr>
        <w:t xml:space="preserve">Research basis: Incyte 1Q26 earnings release and conference-call transcript dated April 28, 2026; Incyte Form 8-K dated June 22, 2026; INCY historical share-price data through July 27, 2026.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2026-07-28T00:10:10Z</dcterms:created>
  <dcterms:modified xsi:type="dcterms:W3CDTF">2026-07-28T00:10:10Z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