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Incyte Corporation (INCY) — Q2 2026 Earnings Preview</w:t>
      </w:r>
    </w:p>
    <w:p>
      <w:r>
        <w:rPr>
          <w:rFonts w:ascii="Calibri" w:hAnsi="Calibri"/>
          <w:b/>
          <w:color w:val="525866"/>
          <w:sz w:val="22"/>
        </w:rPr>
        <w:t xml:space="preserve">Prepared: </w:t>
      </w:r>
      <w:r>
        <w:rPr>
          <w:rFonts w:ascii="Calibri" w:hAnsi="Calibri"/>
          <w:color w:val="525866"/>
          <w:sz w:val="22"/>
        </w:rPr>
        <w:t xml:space="preserve">July 27, 2026   </w:t>
      </w:r>
      <w:r>
        <w:rPr>
          <w:rFonts w:ascii="Calibri" w:hAnsi="Calibri"/>
          <w:b/>
          <w:color w:val="525866"/>
          <w:sz w:val="22"/>
        </w:rPr>
        <w:t xml:space="preserve">Earnings Date: </w:t>
      </w:r>
      <w:r>
        <w:rPr>
          <w:rFonts w:ascii="Calibri" w:hAnsi="Calibri"/>
          <w:color w:val="525866"/>
          <w:sz w:val="22"/>
        </w:rPr>
        <w:t xml:space="preserve">July 28, 2026 (Before Market Open)   </w:t>
      </w:r>
      <w:r>
        <w:rPr>
          <w:rFonts w:ascii="Calibri" w:hAnsi="Calibri"/>
          <w:b/>
          <w:color w:val="525866"/>
          <w:sz w:val="22"/>
        </w:rPr>
        <w:t xml:space="preserve">Reporting Period: </w:t>
      </w:r>
      <w:r>
        <w:rPr>
          <w:rFonts w:ascii="Calibri" w:hAnsi="Calibri"/>
          <w:color w:val="525866"/>
          <w:sz w:val="22"/>
        </w:rPr>
        <w:t xml:space="preserve">Q2 2026   </w:t>
      </w:r>
      <w:r>
        <w:rPr>
          <w:rFonts w:ascii="Calibri" w:hAnsi="Calibri"/>
          <w:b/>
          <w:color w:val="525866"/>
          <w:sz w:val="22"/>
        </w:rPr>
        <w:t xml:space="preserve">Sector ETF: </w:t>
      </w:r>
      <w:r>
        <w:rPr>
          <w:rFonts w:ascii="Calibri" w:hAnsi="Calibri"/>
          <w:color w:val="525866"/>
          <w:sz w:val="22"/>
        </w:rPr>
        <w:t>XBI (SPDR S&amp;P Biotech ETF)</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skews to beat — consensus is a manageable bar after Q1's massive EPS outperformance, and two non-recurring Q2 tailwinds (the $246M Opzelura CMS rebate reversal and Jakafi XR launch ramp) are not fully reflected in GAAP estimates; the biggest swing factor is whether Opzelura's gross-to-net improvement and Jakafi XR early traction can drive a second consecutive revenue upside.</w:t>
      </w:r>
    </w:p>
    <w:p>
      <w:r>
        <w:rPr>
          <w:rFonts w:ascii="Calibri" w:hAnsi="Calibri"/>
          <w:b/>
          <w:color w:val="525866"/>
          <w:sz w:val="22"/>
        </w:rPr>
        <w:t xml:space="preserve">Heading into Q2 2026, the setup for INCY is constructively bullish. </w:t>
      </w:r>
      <w:r>
        <w:rPr>
          <w:rFonts w:ascii="Calibri" w:hAnsi="Calibri"/>
          <w:color w:val="525866"/>
          <w:sz w:val="22"/>
        </w:rPr>
        <w:t>Consensus revenue of ~$1.50B represents a high bar on paper (+24% YoY), but the Q2 print will benefit from a one-time $246M non-cash benefit from the CMS/Opzelura Medicaid rebate litigation resolution announced June 22, which will flow through GAAP results and is not fully captured in consensus estimates. Jakafi XR, approved in May 2026 and actively launching, is generating early sales in the low tens of millions with formulary coverage building rapidly (Optum, CVS, ~14 regional plans, several Medicaid states already on board), providing a modest but real incremental revenue tailwind. Management reaffirmed full-year 2026 guidance on the Q1 call and has not issued any pre-announcement, suggesting the core business is tracking in-line to above plan. The stock has rallied ~22% since Q1 earnings (vs. XBI +15%, SPY +4%), pricing in meaningful execution progress, but the multiple is not stretched given the pipeline optionality from INCA033989, Povo, and the newly closed Vega/VGA039 acquisition. The key wildcard is Opzelura's Q2 net sales trajectory — Q1 US sales of $106M came in below pre-earnings consensus, and any sequential acceleration driven by the improved gross-to-net (post-CMS settlement) and the European moderate AD launch approval could be the incremental positive surprise that drives the stock higher.</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revenue of ~$1.50B is a high bar (+24% YoY) but is supported by the $246M non-cash CMS benefit; the bigger swing factor is operating EPS, where consensus of $2.25 is well above Q1's $1.81 actual, making the bar harder to clear on a pure operating basis. Jakafi net sales (~$920M consensus) and Opzelura (~$310M consensus, which appears to include the CMS benefit) are the two KPIs to watch most closely.</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Q1 2026 Actual</w:t>
            </w:r>
          </w:p>
        </w:tc>
        <w:tc>
          <w:tcPr>
            <w:tcW w:type="dxa" w:w="1234"/>
          </w:tcPr>
          <w:p>
            <w:r>
              <w:rPr>
                <w:rFonts w:ascii="Calibri" w:hAnsi="Calibri"/>
                <w:b/>
                <w:sz w:val="22"/>
              </w:rPr>
              <w:t>Q2 2025 Actual</w:t>
            </w:r>
          </w:p>
        </w:tc>
        <w:tc>
          <w:tcPr>
            <w:tcW w:type="dxa" w:w="1234"/>
          </w:tcPr>
          <w:p>
            <w:r>
              <w:rPr>
                <w:rFonts w:ascii="Calibri" w:hAnsi="Calibri"/>
                <w:b/>
                <w:sz w:val="22"/>
              </w:rPr>
              <w:t>Q2 2026 Consensus Est.</w:t>
            </w:r>
          </w:p>
        </w:tc>
        <w:tc>
          <w:tcPr>
            <w:tcW w:type="dxa" w:w="1234"/>
          </w:tcPr>
          <w:p>
            <w:r>
              <w:rPr>
                <w:rFonts w:ascii="Calibri" w:hAnsi="Calibri"/>
                <w:b/>
                <w:sz w:val="22"/>
              </w:rPr>
              <w:t>YoY Change</w:t>
            </w:r>
          </w:p>
        </w:tc>
        <w:tc>
          <w:tcPr>
            <w:tcW w:type="dxa" w:w="1234"/>
          </w:tcPr>
          <w:p>
            <w:r>
              <w:rPr>
                <w:rFonts w:ascii="Calibri" w:hAnsi="Calibri"/>
                <w:b/>
                <w:sz w:val="22"/>
              </w:rPr>
              <w:t>FY 2026 Guidance</w:t>
            </w:r>
          </w:p>
        </w:tc>
        <w:tc>
          <w:tcPr>
            <w:tcW w:type="dxa" w:w="1234"/>
          </w:tcPr>
          <w:p>
            <w:r>
              <w:rPr>
                <w:rFonts w:ascii="Calibri" w:hAnsi="Calibri"/>
                <w:b/>
                <w:sz w:val="22"/>
              </w:rPr>
              <w:t>Cons. vs. Guidance Mid (%)</w:t>
            </w:r>
          </w:p>
        </w:tc>
      </w:tr>
      <w:tr>
        <w:tc>
          <w:tcPr>
            <w:tcW w:type="dxa" w:w="1234"/>
          </w:tcPr>
          <w:p>
            <w:r>
              <w:rPr>
                <w:rFonts w:ascii="Calibri" w:hAnsi="Calibri"/>
                <w:sz w:val="22"/>
              </w:rPr>
              <w:t>Total Revenue ($M)</w:t>
            </w:r>
          </w:p>
        </w:tc>
        <w:tc>
          <w:tcPr>
            <w:tcW w:type="dxa" w:w="1234"/>
          </w:tcPr>
          <w:p>
            <w:r>
              <w:rPr>
                <w:rFonts w:ascii="Calibri" w:hAnsi="Calibri"/>
                <w:sz w:val="22"/>
              </w:rPr>
              <w:t>$1,272.7M</w:t>
            </w:r>
          </w:p>
        </w:tc>
        <w:tc>
          <w:tcPr>
            <w:tcW w:type="dxa" w:w="1234"/>
          </w:tcPr>
          <w:p>
            <w:r>
              <w:rPr>
                <w:rFonts w:ascii="Calibri" w:hAnsi="Calibri"/>
                <w:sz w:val="22"/>
              </w:rPr>
              <w:t>$1,215.5M</w:t>
            </w:r>
          </w:p>
        </w:tc>
        <w:tc>
          <w:tcPr>
            <w:tcW w:type="dxa" w:w="1234"/>
          </w:tcPr>
          <w:p>
            <w:r>
              <w:rPr>
                <w:rFonts w:ascii="Calibri" w:hAnsi="Calibri"/>
                <w:sz w:val="22"/>
              </w:rPr>
              <w:t>$1,504.6M</w:t>
            </w:r>
          </w:p>
        </w:tc>
        <w:tc>
          <w:tcPr>
            <w:tcW w:type="dxa" w:w="1234"/>
          </w:tcPr>
          <w:p>
            <w:r>
              <w:rPr>
                <w:rFonts w:ascii="Calibri" w:hAnsi="Calibri"/>
                <w:sz w:val="22"/>
              </w:rPr>
              <w:t>+23.8%</w:t>
            </w:r>
          </w:p>
        </w:tc>
        <w:tc>
          <w:tcPr>
            <w:tcW w:type="dxa" w:w="1234"/>
          </w:tcPr>
          <w:p>
            <w:r>
              <w:rPr>
                <w:rFonts w:ascii="Calibri" w:hAnsi="Calibri"/>
                <w:sz w:val="22"/>
              </w:rPr>
              <w:t>$4,770–$4,940M (net sales)</w:t>
            </w:r>
          </w:p>
        </w:tc>
        <w:tc>
          <w:tcPr>
            <w:tcW w:type="dxa" w:w="1234"/>
          </w:tcPr>
          <w:p>
            <w:r>
              <w:rPr>
                <w:rFonts w:ascii="Calibri" w:hAnsi="Calibri"/>
                <w:sz w:val="22"/>
              </w:rPr>
              <w:t>N/A (total rev. vs. net sales)</w:t>
            </w:r>
          </w:p>
        </w:tc>
      </w:tr>
      <w:tr>
        <w:tc>
          <w:tcPr>
            <w:tcW w:type="dxa" w:w="1234"/>
          </w:tcPr>
          <w:p>
            <w:r>
              <w:rPr>
                <w:rFonts w:ascii="Calibri" w:hAnsi="Calibri"/>
                <w:sz w:val="22"/>
              </w:rPr>
              <w:t>Jakafi Net Sales ($M)</w:t>
            </w:r>
          </w:p>
        </w:tc>
        <w:tc>
          <w:tcPr>
            <w:tcW w:type="dxa" w:w="1234"/>
          </w:tcPr>
          <w:p>
            <w:r>
              <w:rPr>
                <w:rFonts w:ascii="Calibri" w:hAnsi="Calibri"/>
                <w:sz w:val="22"/>
              </w:rPr>
              <w:t>$863.3M</w:t>
            </w:r>
          </w:p>
        </w:tc>
        <w:tc>
          <w:tcPr>
            <w:tcW w:type="dxa" w:w="1234"/>
          </w:tcPr>
          <w:p>
            <w:r>
              <w:rPr>
                <w:rFonts w:ascii="Calibri" w:hAnsi="Calibri"/>
                <w:sz w:val="22"/>
              </w:rPr>
              <w:t>$873.5M</w:t>
            </w:r>
          </w:p>
        </w:tc>
        <w:tc>
          <w:tcPr>
            <w:tcW w:type="dxa" w:w="1234"/>
          </w:tcPr>
          <w:p>
            <w:r>
              <w:rPr>
                <w:rFonts w:ascii="Calibri" w:hAnsi="Calibri"/>
                <w:sz w:val="22"/>
              </w:rPr>
              <w:t>$919.8M</w:t>
            </w:r>
          </w:p>
        </w:tc>
        <w:tc>
          <w:tcPr>
            <w:tcW w:type="dxa" w:w="1234"/>
          </w:tcPr>
          <w:p>
            <w:r>
              <w:rPr>
                <w:rFonts w:ascii="Calibri" w:hAnsi="Calibri"/>
                <w:sz w:val="22"/>
              </w:rPr>
              <w:t>+5.3%</w:t>
            </w:r>
          </w:p>
        </w:tc>
        <w:tc>
          <w:tcPr>
            <w:tcW w:type="dxa" w:w="1234"/>
          </w:tcPr>
          <w:p>
            <w:r>
              <w:rPr>
                <w:rFonts w:ascii="Calibri" w:hAnsi="Calibri"/>
                <w:sz w:val="22"/>
              </w:rPr>
              <w:t>$3,220–$3,270M</w:t>
            </w:r>
          </w:p>
        </w:tc>
        <w:tc>
          <w:tcPr>
            <w:tcW w:type="dxa" w:w="1234"/>
          </w:tcPr>
          <w:p>
            <w:r>
              <w:rPr>
                <w:rFonts w:ascii="Calibri" w:hAnsi="Calibri"/>
                <w:sz w:val="22"/>
              </w:rPr>
              <w:t>+12.0% vs. mid</w:t>
            </w:r>
          </w:p>
        </w:tc>
      </w:tr>
      <w:tr>
        <w:tc>
          <w:tcPr>
            <w:tcW w:type="dxa" w:w="1234"/>
          </w:tcPr>
          <w:p>
            <w:r>
              <w:rPr>
                <w:rFonts w:ascii="Calibri" w:hAnsi="Calibri"/>
                <w:sz w:val="22"/>
              </w:rPr>
              <w:t>Opzelura Net Sales ($M)</w:t>
            </w:r>
          </w:p>
        </w:tc>
        <w:tc>
          <w:tcPr>
            <w:tcW w:type="dxa" w:w="1234"/>
          </w:tcPr>
          <w:p>
            <w:r>
              <w:rPr>
                <w:rFonts w:ascii="Calibri" w:hAnsi="Calibri"/>
                <w:sz w:val="22"/>
              </w:rPr>
              <w:t>$143.0M</w:t>
            </w:r>
          </w:p>
        </w:tc>
        <w:tc>
          <w:tcPr>
            <w:tcW w:type="dxa" w:w="1234"/>
          </w:tcPr>
          <w:p>
            <w:r>
              <w:rPr>
                <w:rFonts w:ascii="Calibri" w:hAnsi="Calibri"/>
                <w:sz w:val="22"/>
              </w:rPr>
              <w:t>$164.5M</w:t>
            </w:r>
          </w:p>
        </w:tc>
        <w:tc>
          <w:tcPr>
            <w:tcW w:type="dxa" w:w="1234"/>
          </w:tcPr>
          <w:p>
            <w:r>
              <w:rPr>
                <w:rFonts w:ascii="Calibri" w:hAnsi="Calibri"/>
                <w:sz w:val="22"/>
              </w:rPr>
              <w:t>$309.7M</w:t>
            </w:r>
          </w:p>
        </w:tc>
        <w:tc>
          <w:tcPr>
            <w:tcW w:type="dxa" w:w="1234"/>
          </w:tcPr>
          <w:p>
            <w:r>
              <w:rPr>
                <w:rFonts w:ascii="Calibri" w:hAnsi="Calibri"/>
                <w:sz w:val="22"/>
              </w:rPr>
              <w:t>+88.3%</w:t>
            </w:r>
          </w:p>
        </w:tc>
        <w:tc>
          <w:tcPr>
            <w:tcW w:type="dxa" w:w="1234"/>
          </w:tcPr>
          <w:p>
            <w:r>
              <w:rPr>
                <w:rFonts w:ascii="Calibri" w:hAnsi="Calibri"/>
                <w:sz w:val="22"/>
              </w:rPr>
              <w:t>$750–$790M</w:t>
            </w:r>
          </w:p>
        </w:tc>
        <w:tc>
          <w:tcPr>
            <w:tcW w:type="dxa" w:w="1234"/>
          </w:tcPr>
          <w:p>
            <w:r>
              <w:rPr>
                <w:rFonts w:ascii="Calibri" w:hAnsi="Calibri"/>
                <w:sz w:val="22"/>
              </w:rPr>
              <w:t>+60.0% vs. mid (incl. CMS benefit)</w:t>
            </w:r>
          </w:p>
        </w:tc>
      </w:tr>
      <w:tr>
        <w:tc>
          <w:tcPr>
            <w:tcW w:type="dxa" w:w="1234"/>
          </w:tcPr>
          <w:p>
            <w:r>
              <w:rPr>
                <w:rFonts w:ascii="Calibri" w:hAnsi="Calibri"/>
                <w:sz w:val="22"/>
              </w:rPr>
              <w:t>Niktimvo Net Sales ($M)</w:t>
            </w:r>
          </w:p>
        </w:tc>
        <w:tc>
          <w:tcPr>
            <w:tcW w:type="dxa" w:w="1234"/>
          </w:tcPr>
          <w:p>
            <w:r>
              <w:rPr>
                <w:rFonts w:ascii="Calibri" w:hAnsi="Calibri"/>
                <w:sz w:val="22"/>
              </w:rPr>
              <w:t>$55.1M</w:t>
            </w:r>
          </w:p>
        </w:tc>
        <w:tc>
          <w:tcPr>
            <w:tcW w:type="dxa" w:w="1234"/>
          </w:tcPr>
          <w:p>
            <w:r>
              <w:rPr>
                <w:rFonts w:ascii="Calibri" w:hAnsi="Calibri"/>
                <w:sz w:val="22"/>
              </w:rPr>
              <w:t>$36.2M</w:t>
            </w:r>
          </w:p>
        </w:tc>
        <w:tc>
          <w:tcPr>
            <w:tcW w:type="dxa" w:w="1234"/>
          </w:tcPr>
          <w:p>
            <w:r>
              <w:rPr>
                <w:rFonts w:ascii="Calibri" w:hAnsi="Calibri"/>
                <w:sz w:val="22"/>
              </w:rPr>
              <w:t>$62.4M</w:t>
            </w:r>
          </w:p>
        </w:tc>
        <w:tc>
          <w:tcPr>
            <w:tcW w:type="dxa" w:w="1234"/>
          </w:tcPr>
          <w:p>
            <w:r>
              <w:rPr>
                <w:rFonts w:ascii="Calibri" w:hAnsi="Calibri"/>
                <w:sz w:val="22"/>
              </w:rPr>
              <w:t>+72.5%</w:t>
            </w:r>
          </w:p>
        </w:tc>
        <w:tc>
          <w:tcPr>
            <w:tcW w:type="dxa" w:w="1234"/>
          </w:tcPr>
          <w:p>
            <w:r>
              <w:rPr>
                <w:rFonts w:ascii="Calibri" w:hAnsi="Calibri"/>
                <w:sz w:val="22"/>
              </w:rPr>
              <w:t>H&amp;O: $800–$880M</w:t>
            </w:r>
          </w:p>
        </w:tc>
        <w:tc>
          <w:tcPr>
            <w:tcW w:type="dxa" w:w="1234"/>
          </w:tcPr>
          <w:p>
            <w:r>
              <w:rPr>
                <w:rFonts w:ascii="Calibri" w:hAnsi="Calibri"/>
                <w:sz w:val="22"/>
              </w:rPr>
              <w:t>N/A (segment guidance)</w:t>
            </w:r>
          </w:p>
        </w:tc>
      </w:tr>
      <w:tr>
        <w:tc>
          <w:tcPr>
            <w:tcW w:type="dxa" w:w="1234"/>
          </w:tcPr>
          <w:p>
            <w:r>
              <w:rPr>
                <w:rFonts w:ascii="Calibri" w:hAnsi="Calibri"/>
                <w:sz w:val="22"/>
              </w:rPr>
              <w:t>Operating EPS (Diluted, adj.)</w:t>
            </w:r>
          </w:p>
        </w:tc>
        <w:tc>
          <w:tcPr>
            <w:tcW w:type="dxa" w:w="1234"/>
          </w:tcPr>
          <w:p>
            <w:r>
              <w:rPr>
                <w:rFonts w:ascii="Calibri" w:hAnsi="Calibri"/>
                <w:sz w:val="22"/>
              </w:rPr>
              <w:t>$1.81</w:t>
            </w:r>
          </w:p>
        </w:tc>
        <w:tc>
          <w:tcPr>
            <w:tcW w:type="dxa" w:w="1234"/>
          </w:tcPr>
          <w:p>
            <w:r>
              <w:rPr>
                <w:rFonts w:ascii="Calibri" w:hAnsi="Calibri"/>
                <w:sz w:val="22"/>
              </w:rPr>
              <w:t>$1.57</w:t>
            </w:r>
          </w:p>
        </w:tc>
        <w:tc>
          <w:tcPr>
            <w:tcW w:type="dxa" w:w="1234"/>
          </w:tcPr>
          <w:p>
            <w:r>
              <w:rPr>
                <w:rFonts w:ascii="Calibri" w:hAnsi="Calibri"/>
                <w:sz w:val="22"/>
              </w:rPr>
              <w:t>$2.25</w:t>
            </w:r>
          </w:p>
        </w:tc>
        <w:tc>
          <w:tcPr>
            <w:tcW w:type="dxa" w:w="1234"/>
          </w:tcPr>
          <w:p>
            <w:r>
              <w:rPr>
                <w:rFonts w:ascii="Calibri" w:hAnsi="Calibri"/>
                <w:sz w:val="22"/>
              </w:rPr>
              <w:t>+43.3%</w:t>
            </w:r>
          </w:p>
        </w:tc>
        <w:tc>
          <w:tcPr>
            <w:tcW w:type="dxa" w:w="1234"/>
          </w:tcPr>
          <w:p>
            <w:r>
              <w:rPr>
                <w:rFonts w:ascii="Calibri" w:hAnsi="Calibri"/>
                <w:sz w:val="22"/>
              </w:rPr>
              <w:t>N/A (no quarterly EPS guide)</w:t>
            </w:r>
          </w:p>
        </w:tc>
        <w:tc>
          <w:tcPr>
            <w:tcW w:type="dxa" w:w="1234"/>
          </w:tcPr>
          <w:p>
            <w:r>
              <w:rPr>
                <w:rFonts w:ascii="Calibri" w:hAnsi="Calibri"/>
                <w:sz w:val="22"/>
              </w:rPr>
              <w:t>N/A</w:t>
            </w:r>
          </w:p>
        </w:tc>
      </w:tr>
      <w:tr>
        <w:tc>
          <w:tcPr>
            <w:tcW w:type="dxa" w:w="1234"/>
          </w:tcPr>
          <w:p>
            <w:r>
              <w:rPr>
                <w:rFonts w:ascii="Calibri" w:hAnsi="Calibri"/>
                <w:sz w:val="22"/>
              </w:rPr>
              <w:t>Operating Income ($M, adj.)</w:t>
            </w:r>
          </w:p>
        </w:tc>
        <w:tc>
          <w:tcPr>
            <w:tcW w:type="dxa" w:w="1234"/>
          </w:tcPr>
          <w:p>
            <w:r>
              <w:rPr>
                <w:rFonts w:ascii="Calibri" w:hAnsi="Calibri"/>
                <w:sz w:val="22"/>
              </w:rPr>
              <w:t>$393.7M</w:t>
            </w:r>
          </w:p>
        </w:tc>
        <w:tc>
          <w:tcPr>
            <w:tcW w:type="dxa" w:w="1234"/>
          </w:tcPr>
          <w:p>
            <w:r>
              <w:rPr>
                <w:rFonts w:ascii="Calibri" w:hAnsi="Calibri"/>
                <w:sz w:val="22"/>
              </w:rPr>
              <w:t>$382.6M</w:t>
            </w:r>
          </w:p>
        </w:tc>
        <w:tc>
          <w:tcPr>
            <w:tcW w:type="dxa" w:w="1234"/>
          </w:tcPr>
          <w:p>
            <w:r>
              <w:rPr>
                <w:rFonts w:ascii="Calibri" w:hAnsi="Calibri"/>
                <w:sz w:val="22"/>
              </w:rPr>
              <w:t>$547.9M</w:t>
            </w:r>
          </w:p>
        </w:tc>
        <w:tc>
          <w:tcPr>
            <w:tcW w:type="dxa" w:w="1234"/>
          </w:tcPr>
          <w:p>
            <w:r>
              <w:rPr>
                <w:rFonts w:ascii="Calibri" w:hAnsi="Calibri"/>
                <w:sz w:val="22"/>
              </w:rPr>
              <w:t>+43.2%</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R&amp;D Expense ($M, adj.)</w:t>
            </w:r>
          </w:p>
        </w:tc>
        <w:tc>
          <w:tcPr>
            <w:tcW w:type="dxa" w:w="1234"/>
          </w:tcPr>
          <w:p>
            <w:r>
              <w:rPr>
                <w:rFonts w:ascii="Calibri" w:hAnsi="Calibri"/>
                <w:sz w:val="22"/>
              </w:rPr>
              <w:t>$476.7M</w:t>
            </w:r>
          </w:p>
        </w:tc>
        <w:tc>
          <w:tcPr>
            <w:tcW w:type="dxa" w:w="1234"/>
          </w:tcPr>
          <w:p>
            <w:r>
              <w:rPr>
                <w:rFonts w:ascii="Calibri" w:hAnsi="Calibri"/>
                <w:sz w:val="22"/>
              </w:rPr>
              <w:t>$455.6M</w:t>
            </w:r>
          </w:p>
        </w:tc>
        <w:tc>
          <w:tcPr>
            <w:tcW w:type="dxa" w:w="1234"/>
          </w:tcPr>
          <w:p>
            <w:r>
              <w:rPr>
                <w:rFonts w:ascii="Calibri" w:hAnsi="Calibri"/>
                <w:sz w:val="22"/>
              </w:rPr>
              <w:t>$512.9M</w:t>
            </w:r>
          </w:p>
        </w:tc>
        <w:tc>
          <w:tcPr>
            <w:tcW w:type="dxa" w:w="1234"/>
          </w:tcPr>
          <w:p>
            <w:r>
              <w:rPr>
                <w:rFonts w:ascii="Calibri" w:hAnsi="Calibri"/>
                <w:sz w:val="22"/>
              </w:rPr>
              <w:t>+12.6%</w:t>
            </w:r>
          </w:p>
        </w:tc>
        <w:tc>
          <w:tcPr>
            <w:tcW w:type="dxa" w:w="1234"/>
          </w:tcPr>
          <w:p>
            <w:r>
              <w:rPr>
                <w:rFonts w:ascii="Calibri" w:hAnsi="Calibri"/>
                <w:sz w:val="22"/>
              </w:rPr>
              <w:t>R&amp;D+SG&amp;A: $3,495–$3,675M</w:t>
            </w:r>
          </w:p>
        </w:tc>
        <w:tc>
          <w:tcPr>
            <w:tcW w:type="dxa" w:w="1234"/>
          </w:tcPr>
          <w:p>
            <w:r>
              <w:rPr>
                <w:rFonts w:ascii="Calibri" w:hAnsi="Calibri"/>
                <w:sz w:val="22"/>
              </w:rPr>
              <w:t>N/A</w:t>
            </w:r>
          </w:p>
        </w:tc>
      </w:tr>
      <w:tr>
        <w:tc>
          <w:tcPr>
            <w:tcW w:type="dxa" w:w="1234"/>
          </w:tcPr>
          <w:p>
            <w:r>
              <w:rPr>
                <w:rFonts w:ascii="Calibri" w:hAnsi="Calibri"/>
                <w:sz w:val="22"/>
              </w:rPr>
              <w:t>SG&amp;A Expense ($M, adj.)</w:t>
            </w:r>
          </w:p>
        </w:tc>
        <w:tc>
          <w:tcPr>
            <w:tcW w:type="dxa" w:w="1234"/>
          </w:tcPr>
          <w:p>
            <w:r>
              <w:rPr>
                <w:rFonts w:ascii="Calibri" w:hAnsi="Calibri"/>
                <w:sz w:val="22"/>
              </w:rPr>
              <w:t>$304.1M</w:t>
            </w:r>
          </w:p>
        </w:tc>
        <w:tc>
          <w:tcPr>
            <w:tcW w:type="dxa" w:w="1234"/>
          </w:tcPr>
          <w:p>
            <w:r>
              <w:rPr>
                <w:rFonts w:ascii="Calibri" w:hAnsi="Calibri"/>
                <w:sz w:val="22"/>
              </w:rPr>
              <w:t>$304.8M</w:t>
            </w:r>
          </w:p>
        </w:tc>
        <w:tc>
          <w:tcPr>
            <w:tcW w:type="dxa" w:w="1234"/>
          </w:tcPr>
          <w:p>
            <w:r>
              <w:rPr>
                <w:rFonts w:ascii="Calibri" w:hAnsi="Calibri"/>
                <w:sz w:val="22"/>
              </w:rPr>
              <w:t>$315.4M</w:t>
            </w:r>
          </w:p>
        </w:tc>
        <w:tc>
          <w:tcPr>
            <w:tcW w:type="dxa" w:w="1234"/>
          </w:tcPr>
          <w:p>
            <w:r>
              <w:rPr>
                <w:rFonts w:ascii="Calibri" w:hAnsi="Calibri"/>
                <w:sz w:val="22"/>
              </w:rPr>
              <w:t>+3.5%</w:t>
            </w:r>
          </w:p>
        </w:tc>
        <w:tc>
          <w:tcPr>
            <w:tcW w:type="dxa" w:w="1234"/>
          </w:tcPr>
          <w:p>
            <w:r>
              <w:rPr>
                <w:rFonts w:ascii="Calibri" w:hAnsi="Calibri"/>
                <w:sz w:val="22"/>
              </w:rPr>
              <w:t>R&amp;D+SG&amp;A: $3,495–$3,675M</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Opzelura consensus of $309.7M appears elevated vs. Q1 actual of $143M and likely incorporates the $246M non-cash CMS benefit announced June 22, 2026. Jakafi guidance midpoint of $3,245M implies ~$810M/quarter run-rate; Q2 consensus of $919.8M implies a strong seasonal step-up. H&amp;O segment includes Niktimvo, Monjuvi, and Zynyz.</w:t>
      </w:r>
    </w:p>
    <w:p>
      <w:pPr>
        <w:pStyle w:val="Heading3"/>
      </w:pPr>
      <w:r>
        <w:rPr>
          <w:rFonts w:ascii="Calibri" w:hAnsi="Calibri"/>
          <w:b/>
          <w:color w:val="3B4259"/>
          <w:sz w:val="24"/>
        </w:rPr>
        <w:t>Table 2 — Beat/Miss History (Last 8 Quarters, Top 2 KPIs: Total Revenue &amp;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Quarter</w:t>
            </w:r>
          </w:p>
        </w:tc>
        <w:tc>
          <w:tcPr>
            <w:tcW w:type="dxa" w:w="1440"/>
          </w:tcPr>
          <w:p>
            <w:r>
              <w:rPr>
                <w:rFonts w:ascii="Calibri" w:hAnsi="Calibri"/>
                <w:b/>
                <w:sz w:val="22"/>
              </w:rPr>
              <w:t>KPI</w:t>
            </w:r>
          </w:p>
        </w:tc>
        <w:tc>
          <w:tcPr>
            <w:tcW w:type="dxa" w:w="1440"/>
          </w:tcPr>
          <w:p>
            <w:r>
              <w:rPr>
                <w:rFonts w:ascii="Calibri" w:hAnsi="Calibri"/>
                <w:b/>
                <w:sz w:val="22"/>
              </w:rPr>
              <w:t>Reported</w:t>
            </w:r>
          </w:p>
        </w:tc>
        <w:tc>
          <w:tcPr>
            <w:tcW w:type="dxa" w:w="1440"/>
          </w:tcPr>
          <w:p>
            <w:r>
              <w:rPr>
                <w:rFonts w:ascii="Calibri" w:hAnsi="Calibri"/>
                <w:b/>
                <w:sz w:val="22"/>
              </w:rPr>
              <w:t>Consensus</w:t>
            </w:r>
          </w:p>
        </w:tc>
        <w:tc>
          <w:tcPr>
            <w:tcW w:type="dxa" w:w="1440"/>
          </w:tcPr>
          <w:p>
            <w:r>
              <w:rPr>
                <w:rFonts w:ascii="Calibri" w:hAnsi="Calibri"/>
                <w:b/>
                <w:sz w:val="22"/>
              </w:rPr>
              <w:t>Surprise %</w:t>
            </w:r>
          </w:p>
        </w:tc>
        <w:tc>
          <w:tcPr>
            <w:tcW w:type="dxa" w:w="1440"/>
          </w:tcPr>
          <w:p>
            <w:r>
              <w:rPr>
                <w:rFonts w:ascii="Calibri" w:hAnsi="Calibri"/>
                <w:b/>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$1,272.7M</w:t>
            </w:r>
          </w:p>
        </w:tc>
        <w:tc>
          <w:tcPr>
            <w:tcW w:type="dxa" w:w="1440"/>
          </w:tcPr>
          <w:p>
            <w:r>
              <w:rPr>
                <w:rFonts w:ascii="Calibri" w:hAnsi="Calibri"/>
                <w:sz w:val="22"/>
              </w:rPr>
              <w:t>$1,217.2M</w:t>
            </w:r>
          </w:p>
        </w:tc>
        <w:tc>
          <w:tcPr>
            <w:tcW w:type="dxa" w:w="1440"/>
          </w:tcPr>
          <w:p>
            <w:r>
              <w:rPr>
                <w:rFonts w:ascii="Calibri" w:hAnsi="Calibri"/>
                <w:b/>
                <w:color w:val="30A46C"/>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$1.81</w:t>
            </w:r>
          </w:p>
        </w:tc>
        <w:tc>
          <w:tcPr>
            <w:tcW w:type="dxa" w:w="1440"/>
          </w:tcPr>
          <w:p>
            <w:r>
              <w:rPr>
                <w:rFonts w:ascii="Calibri" w:hAnsi="Calibri"/>
                <w:sz w:val="22"/>
              </w:rPr>
              <w:t>$1.22</w:t>
            </w:r>
          </w:p>
        </w:tc>
        <w:tc>
          <w:tcPr>
            <w:tcW w:type="dxa" w:w="1440"/>
          </w:tcPr>
          <w:p>
            <w:r>
              <w:rPr>
                <w:rFonts w:ascii="Calibri" w:hAnsi="Calibri"/>
                <w:b/>
                <w:color w:val="30A46C"/>
                <w:sz w:val="22"/>
              </w:rPr>
              <w:t>+48.4%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$1,506.8M</w:t>
            </w:r>
          </w:p>
        </w:tc>
        <w:tc>
          <w:tcPr>
            <w:tcW w:type="dxa" w:w="1440"/>
          </w:tcPr>
          <w:p>
            <w:r>
              <w:rPr>
                <w:rFonts w:ascii="Calibri" w:hAnsi="Calibri"/>
                <w:sz w:val="22"/>
              </w:rPr>
              <w:t>$1,357.7M</w:t>
            </w:r>
          </w:p>
        </w:tc>
        <w:tc>
          <w:tcPr>
            <w:tcW w:type="dxa" w:w="1440"/>
          </w:tcPr>
          <w:p>
            <w:r>
              <w:rPr>
                <w:rFonts w:ascii="Calibri" w:hAnsi="Calibri"/>
                <w:b/>
                <w:color w:val="30A46C"/>
                <w:sz w:val="22"/>
              </w:rPr>
              <w:t>+10.9%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$1.80</w:t>
            </w:r>
          </w:p>
        </w:tc>
        <w:tc>
          <w:tcPr>
            <w:tcW w:type="dxa" w:w="1440"/>
          </w:tcPr>
          <w:p>
            <w:r>
              <w:rPr>
                <w:rFonts w:ascii="Calibri" w:hAnsi="Calibri"/>
                <w:sz w:val="22"/>
              </w:rPr>
              <w:t>$1.93</w:t>
            </w:r>
          </w:p>
        </w:tc>
        <w:tc>
          <w:tcPr>
            <w:tcW w:type="dxa" w:w="1440"/>
          </w:tcPr>
          <w:p>
            <w:r>
              <w:rPr>
                <w:rFonts w:ascii="Calibri" w:hAnsi="Calibri"/>
                <w:b/>
                <w:color w:val="E5484D"/>
                <w:sz w:val="22"/>
              </w:rPr>
              <w:t>-6.7%</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$1,366.0M</w:t>
            </w:r>
          </w:p>
        </w:tc>
        <w:tc>
          <w:tcPr>
            <w:tcW w:type="dxa" w:w="1440"/>
          </w:tcPr>
          <w:p>
            <w:r>
              <w:rPr>
                <w:rFonts w:ascii="Calibri" w:hAnsi="Calibri"/>
                <w:sz w:val="22"/>
              </w:rPr>
              <w:t>$1,259.0M</w:t>
            </w:r>
          </w:p>
        </w:tc>
        <w:tc>
          <w:tcPr>
            <w:tcW w:type="dxa" w:w="1440"/>
          </w:tcPr>
          <w:p>
            <w:r>
              <w:rPr>
                <w:rFonts w:ascii="Calibri" w:hAnsi="Calibri"/>
                <w:b/>
                <w:color w:val="30A46C"/>
                <w:sz w:val="22"/>
              </w:rPr>
              <w:t>+8.5%</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$2.26</w:t>
            </w:r>
          </w:p>
        </w:tc>
        <w:tc>
          <w:tcPr>
            <w:tcW w:type="dxa" w:w="1440"/>
          </w:tcPr>
          <w:p>
            <w:r>
              <w:rPr>
                <w:rFonts w:ascii="Calibri" w:hAnsi="Calibri"/>
                <w:sz w:val="22"/>
              </w:rPr>
              <w:t>$1.71</w:t>
            </w:r>
          </w:p>
        </w:tc>
        <w:tc>
          <w:tcPr>
            <w:tcW w:type="dxa" w:w="1440"/>
          </w:tcPr>
          <w:p>
            <w:r>
              <w:rPr>
                <w:rFonts w:ascii="Calibri" w:hAnsi="Calibri"/>
                <w:b/>
                <w:color w:val="30A46C"/>
                <w:sz w:val="22"/>
              </w:rPr>
              <w:t>+32.2%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$1,215.5M</w:t>
            </w:r>
          </w:p>
        </w:tc>
        <w:tc>
          <w:tcPr>
            <w:tcW w:type="dxa" w:w="1440"/>
          </w:tcPr>
          <w:p>
            <w:r>
              <w:rPr>
                <w:rFonts w:ascii="Calibri" w:hAnsi="Calibri"/>
                <w:sz w:val="22"/>
              </w:rPr>
              <w:t>$1,150.7M</w:t>
            </w:r>
          </w:p>
        </w:tc>
        <w:tc>
          <w:tcPr>
            <w:tcW w:type="dxa" w:w="1440"/>
          </w:tcPr>
          <w:p>
            <w:r>
              <w:rPr>
                <w:rFonts w:ascii="Calibri" w:hAnsi="Calibri"/>
                <w:b/>
                <w:color w:val="30A46C"/>
                <w:sz w:val="22"/>
              </w:rPr>
              <w:t>+5.6%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$1.57</w:t>
            </w:r>
          </w:p>
        </w:tc>
        <w:tc>
          <w:tcPr>
            <w:tcW w:type="dxa" w:w="1440"/>
          </w:tcPr>
          <w:p>
            <w:r>
              <w:rPr>
                <w:rFonts w:ascii="Calibri" w:hAnsi="Calibri"/>
                <w:sz w:val="22"/>
              </w:rPr>
              <w:t>$1.44</w:t>
            </w:r>
          </w:p>
        </w:tc>
        <w:tc>
          <w:tcPr>
            <w:tcW w:type="dxa" w:w="1440"/>
          </w:tcPr>
          <w:p>
            <w:r>
              <w:rPr>
                <w:rFonts w:ascii="Calibri" w:hAnsi="Calibri"/>
                <w:b/>
                <w:color w:val="30A46C"/>
                <w:sz w:val="22"/>
              </w:rPr>
              <w:t>+9.0%</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$1,052.9M</w:t>
            </w:r>
          </w:p>
        </w:tc>
        <w:tc>
          <w:tcPr>
            <w:tcW w:type="dxa" w:w="1440"/>
          </w:tcPr>
          <w:p>
            <w:r>
              <w:rPr>
                <w:rFonts w:ascii="Calibri" w:hAnsi="Calibri"/>
                <w:sz w:val="22"/>
              </w:rPr>
              <w:t>$988.5M</w:t>
            </w:r>
          </w:p>
        </w:tc>
        <w:tc>
          <w:tcPr>
            <w:tcW w:type="dxa" w:w="1440"/>
          </w:tcPr>
          <w:p>
            <w:r>
              <w:rPr>
                <w:rFonts w:ascii="Calibri" w:hAnsi="Calibri"/>
                <w:b/>
                <w:color w:val="30A46C"/>
                <w:sz w:val="22"/>
              </w:rPr>
              <w:t>+6.5%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$1.16</w:t>
            </w:r>
          </w:p>
        </w:tc>
        <w:tc>
          <w:tcPr>
            <w:tcW w:type="dxa" w:w="1440"/>
          </w:tcPr>
          <w:p>
            <w:r>
              <w:rPr>
                <w:rFonts w:ascii="Calibri" w:hAnsi="Calibri"/>
                <w:sz w:val="22"/>
              </w:rPr>
              <w:t>$1.04</w:t>
            </w:r>
          </w:p>
        </w:tc>
        <w:tc>
          <w:tcPr>
            <w:tcW w:type="dxa" w:w="1440"/>
          </w:tcPr>
          <w:p>
            <w:r>
              <w:rPr>
                <w:rFonts w:ascii="Calibri" w:hAnsi="Calibri"/>
                <w:b/>
                <w:color w:val="30A46C"/>
                <w:sz w:val="22"/>
              </w:rPr>
              <w:t>+11.5%</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$1,178.7M</w:t>
            </w:r>
          </w:p>
        </w:tc>
        <w:tc>
          <w:tcPr>
            <w:tcW w:type="dxa" w:w="1440"/>
          </w:tcPr>
          <w:p>
            <w:r>
              <w:rPr>
                <w:rFonts w:ascii="Calibri" w:hAnsi="Calibri"/>
                <w:sz w:val="22"/>
              </w:rPr>
              <w:t>$1,145.8M</w:t>
            </w:r>
          </w:p>
        </w:tc>
        <w:tc>
          <w:tcPr>
            <w:tcW w:type="dxa" w:w="1440"/>
          </w:tcPr>
          <w:p>
            <w:r>
              <w:rPr>
                <w:rFonts w:ascii="Calibri" w:hAnsi="Calibri"/>
                <w:b/>
                <w:color w:val="30A46C"/>
                <w:sz w:val="22"/>
              </w:rPr>
              <w:t>+2.9%</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$1.43</w:t>
            </w:r>
          </w:p>
        </w:tc>
        <w:tc>
          <w:tcPr>
            <w:tcW w:type="dxa" w:w="1440"/>
          </w:tcPr>
          <w:p>
            <w:r>
              <w:rPr>
                <w:rFonts w:ascii="Calibri" w:hAnsi="Calibri"/>
                <w:sz w:val="22"/>
              </w:rPr>
              <w:t>$1.53</w:t>
            </w:r>
          </w:p>
        </w:tc>
        <w:tc>
          <w:tcPr>
            <w:tcW w:type="dxa" w:w="1440"/>
          </w:tcPr>
          <w:p>
            <w:r>
              <w:rPr>
                <w:rFonts w:ascii="Calibri" w:hAnsi="Calibri"/>
                <w:b/>
                <w:color w:val="E5484D"/>
                <w:sz w:val="22"/>
              </w:rPr>
              <w:t>-6.5%</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$1,137.9M</w:t>
            </w:r>
          </w:p>
        </w:tc>
        <w:tc>
          <w:tcPr>
            <w:tcW w:type="dxa" w:w="1440"/>
          </w:tcPr>
          <w:p>
            <w:r>
              <w:rPr>
                <w:rFonts w:ascii="Calibri" w:hAnsi="Calibri"/>
                <w:sz w:val="22"/>
              </w:rPr>
              <w:t>$1,081.3M</w:t>
            </w:r>
          </w:p>
        </w:tc>
        <w:tc>
          <w:tcPr>
            <w:tcW w:type="dxa" w:w="1440"/>
          </w:tcPr>
          <w:p>
            <w:r>
              <w:rPr>
                <w:rFonts w:ascii="Calibri" w:hAnsi="Calibri"/>
                <w:b/>
                <w:color w:val="30A46C"/>
                <w:sz w:val="22"/>
              </w:rPr>
              <w:t>+5.2%</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$1.07</w:t>
            </w:r>
          </w:p>
        </w:tc>
        <w:tc>
          <w:tcPr>
            <w:tcW w:type="dxa" w:w="1440"/>
          </w:tcPr>
          <w:p>
            <w:r>
              <w:rPr>
                <w:rFonts w:ascii="Calibri" w:hAnsi="Calibri"/>
                <w:sz w:val="22"/>
              </w:rPr>
              <w:t>$0.92</w:t>
            </w:r>
          </w:p>
        </w:tc>
        <w:tc>
          <w:tcPr>
            <w:tcW w:type="dxa" w:w="1440"/>
          </w:tcPr>
          <w:p>
            <w:r>
              <w:rPr>
                <w:rFonts w:ascii="Calibri" w:hAnsi="Calibri"/>
                <w:b/>
                <w:color w:val="30A46C"/>
                <w:sz w:val="22"/>
              </w:rPr>
              <w:t>+16.3%</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$1,043.8M</w:t>
            </w:r>
          </w:p>
        </w:tc>
        <w:tc>
          <w:tcPr>
            <w:tcW w:type="dxa" w:w="1440"/>
          </w:tcPr>
          <w:p>
            <w:r>
              <w:rPr>
                <w:rFonts w:ascii="Calibri" w:hAnsi="Calibri"/>
                <w:sz w:val="22"/>
              </w:rPr>
              <w:t>$1,011.1M</w:t>
            </w:r>
          </w:p>
        </w:tc>
        <w:tc>
          <w:tcPr>
            <w:tcW w:type="dxa" w:w="1440"/>
          </w:tcPr>
          <w:p>
            <w:r>
              <w:rPr>
                <w:rFonts w:ascii="Calibri" w:hAnsi="Calibri"/>
                <w:b/>
                <w:color w:val="30A46C"/>
                <w:sz w:val="22"/>
              </w:rPr>
              <w:t>+3.2%</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Operating EPS</w:t>
            </w:r>
          </w:p>
        </w:tc>
        <w:tc>
          <w:tcPr>
            <w:tcW w:type="dxa" w:w="1440"/>
          </w:tcPr>
          <w:p>
            <w:r>
              <w:rPr>
                <w:rFonts w:ascii="Calibri" w:hAnsi="Calibri"/>
                <w:sz w:val="22"/>
              </w:rPr>
              <w:t>-$1.82</w:t>
            </w:r>
          </w:p>
        </w:tc>
        <w:tc>
          <w:tcPr>
            <w:tcW w:type="dxa" w:w="1440"/>
          </w:tcPr>
          <w:p>
            <w:r>
              <w:rPr>
                <w:rFonts w:ascii="Calibri" w:hAnsi="Calibri"/>
                <w:sz w:val="22"/>
              </w:rPr>
              <w:t>$0.93</w:t>
            </w:r>
          </w:p>
        </w:tc>
        <w:tc>
          <w:tcPr>
            <w:tcW w:type="dxa" w:w="1440"/>
          </w:tcPr>
          <w:p>
            <w:r>
              <w:rPr>
                <w:rFonts w:ascii="Calibri" w:hAnsi="Calibri"/>
                <w:b/>
                <w:color w:val="E5484D"/>
                <w:sz w:val="22"/>
              </w:rPr>
              <w:t>N/M (large one-time charge)</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i/>
          <w:color w:val="525866"/>
          <w:sz w:val="22"/>
        </w:rPr>
        <w:t>INCY has beaten total revenue consensus in 7 of the last 8 quarters, with an average beat of ~5–6%; operating EPS beats are less consistent (5 of 8), with misses concentrated in quarters with one-time charges or elevated R&amp;D spend. The Q2 2024 EPS miss was driven by a large one-time R&amp;D charge.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2026 guidance was reaffirmed on the Q1 call and has not been formally revised since, but two post-earnings events — the $246M Opzelura CMS rebate reversal (June 22) and the Vega/VGA039 acquisition close (July 6, ~$1.25B upfront R&amp;D charge in Q3) — will require guidance updates at tomorrow's print; management tone has shifted more confident on the commercial portfolio and more explicit on pipeline optionality.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Call, Apr 28)</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Total Net Sales (FY 2026)</w:t>
            </w:r>
          </w:p>
        </w:tc>
        <w:tc>
          <w:tcPr>
            <w:tcW w:type="dxa" w:w="1728"/>
          </w:tcPr>
          <w:p>
            <w:r>
              <w:rPr>
                <w:rFonts w:ascii="Calibri" w:hAnsi="Calibri"/>
                <w:sz w:val="22"/>
              </w:rPr>
              <w:t>$4,770–$4,940M (+10–13% YoY)</w:t>
            </w:r>
          </w:p>
        </w:tc>
        <w:tc>
          <w:tcPr>
            <w:tcW w:type="dxa" w:w="1728"/>
          </w:tcPr>
          <w:p>
            <w:r>
              <w:rPr>
                <w:rFonts w:ascii="Calibri" w:hAnsi="Calibri"/>
                <w:sz w:val="22"/>
              </w:rPr>
              <w:t>Update expected at Q2 print</w:t>
            </w:r>
          </w:p>
        </w:tc>
        <w:tc>
          <w:tcPr>
            <w:tcW w:type="dxa" w:w="1728"/>
          </w:tcPr>
          <w:p>
            <w:r>
              <w:rPr>
                <w:rFonts w:ascii="Calibri" w:hAnsi="Calibri"/>
                <w:sz w:val="22"/>
              </w:rPr>
              <w:t>$5,749M (FY consensus)</w:t>
            </w:r>
          </w:p>
        </w:tc>
        <w:tc>
          <w:tcPr>
            <w:tcW w:type="dxa" w:w="1728"/>
          </w:tcPr>
          <w:p>
            <w:r>
              <w:rPr>
                <w:rFonts w:ascii="Calibri" w:hAnsi="Calibri"/>
                <w:sz w:val="22"/>
              </w:rPr>
              <w:t>CMS Opzelura settlement ($246M non-cash benefit in Q2) and Vega acquisition ($1.25B R&amp;D charge in Q3) will require guidance update; management guided to update at next earnings release</w:t>
            </w:r>
          </w:p>
        </w:tc>
      </w:tr>
      <w:tr>
        <w:tc>
          <w:tcPr>
            <w:tcW w:type="dxa" w:w="1728"/>
          </w:tcPr>
          <w:p>
            <w:r>
              <w:rPr>
                <w:rFonts w:ascii="Calibri" w:hAnsi="Calibri"/>
                <w:sz w:val="22"/>
              </w:rPr>
              <w:t>Jakafi Net Sales (FY 2026)</w:t>
            </w:r>
          </w:p>
        </w:tc>
        <w:tc>
          <w:tcPr>
            <w:tcW w:type="dxa" w:w="1728"/>
          </w:tcPr>
          <w:p>
            <w:r>
              <w:rPr>
                <w:rFonts w:ascii="Calibri" w:hAnsi="Calibri"/>
                <w:sz w:val="22"/>
              </w:rPr>
              <w:t>$3,220–$3,270M</w:t>
            </w:r>
          </w:p>
        </w:tc>
        <w:tc>
          <w:tcPr>
            <w:tcW w:type="dxa" w:w="1728"/>
          </w:tcPr>
          <w:p>
            <w:r>
              <w:rPr>
                <w:rFonts w:ascii="Calibri" w:hAnsi="Calibri"/>
                <w:sz w:val="22"/>
              </w:rPr>
              <w:t>—</w:t>
            </w:r>
          </w:p>
        </w:tc>
        <w:tc>
          <w:tcPr>
            <w:tcW w:type="dxa" w:w="1728"/>
          </w:tcPr>
          <w:p>
            <w:r>
              <w:rPr>
                <w:rFonts w:ascii="Calibri" w:hAnsi="Calibri"/>
                <w:sz w:val="22"/>
              </w:rPr>
              <w:t>$3,720M</w:t>
            </w:r>
          </w:p>
        </w:tc>
        <w:tc>
          <w:tcPr>
            <w:tcW w:type="dxa" w:w="1728"/>
          </w:tcPr>
          <w:p>
            <w:r>
              <w:rPr>
                <w:rFonts w:ascii="Calibri" w:hAnsi="Calibri"/>
                <w:sz w:val="22"/>
              </w:rPr>
              <w:t>Unchanged; Jakafi XR launch tracking to plan with Optum/CVS formulary coverage secured; PV approaching largest indication by year-end</w:t>
            </w:r>
          </w:p>
        </w:tc>
      </w:tr>
      <w:tr>
        <w:tc>
          <w:tcPr>
            <w:tcW w:type="dxa" w:w="1728"/>
          </w:tcPr>
          <w:p>
            <w:r>
              <w:rPr>
                <w:rFonts w:ascii="Calibri" w:hAnsi="Calibri"/>
                <w:sz w:val="22"/>
              </w:rPr>
              <w:t>Opzelura Net Sales (FY 2026)</w:t>
            </w:r>
          </w:p>
        </w:tc>
        <w:tc>
          <w:tcPr>
            <w:tcW w:type="dxa" w:w="1728"/>
          </w:tcPr>
          <w:p>
            <w:r>
              <w:rPr>
                <w:rFonts w:ascii="Calibri" w:hAnsi="Calibri"/>
                <w:sz w:val="22"/>
              </w:rPr>
              <w:t>$750–$790M</w:t>
            </w:r>
          </w:p>
        </w:tc>
        <w:tc>
          <w:tcPr>
            <w:tcW w:type="dxa" w:w="1728"/>
          </w:tcPr>
          <w:p>
            <w:r>
              <w:rPr>
                <w:rFonts w:ascii="Calibri" w:hAnsi="Calibri"/>
                <w:sz w:val="22"/>
              </w:rPr>
              <w:t>Upward revision likely at Q2 print</w:t>
            </w:r>
          </w:p>
        </w:tc>
        <w:tc>
          <w:tcPr>
            <w:tcW w:type="dxa" w:w="1728"/>
          </w:tcPr>
          <w:p>
            <w:r>
              <w:rPr>
                <w:rFonts w:ascii="Calibri" w:hAnsi="Calibri"/>
                <w:sz w:val="22"/>
              </w:rPr>
              <w:t>$895M</w:t>
            </w:r>
          </w:p>
        </w:tc>
        <w:tc>
          <w:tcPr>
            <w:tcW w:type="dxa" w:w="1728"/>
          </w:tcPr>
          <w:p>
            <w:r>
              <w:rPr>
                <w:rFonts w:ascii="Calibri" w:hAnsi="Calibri"/>
                <w:sz w:val="22"/>
              </w:rPr>
              <w:t>↑ CMS settlement (June 22, 8-K) eliminates line extension rebate accrual; improved gross-to-net on go-forward basis; EU moderate AD approval expected H2 2026</w:t>
            </w:r>
          </w:p>
        </w:tc>
      </w:tr>
      <w:tr>
        <w:tc>
          <w:tcPr>
            <w:tcW w:type="dxa" w:w="1728"/>
          </w:tcPr>
          <w:p>
            <w:r>
              <w:rPr>
                <w:rFonts w:ascii="Calibri" w:hAnsi="Calibri"/>
                <w:sz w:val="22"/>
              </w:rPr>
              <w:t>H&amp;O Net Sales (FY 2026)</w:t>
            </w:r>
          </w:p>
        </w:tc>
        <w:tc>
          <w:tcPr>
            <w:tcW w:type="dxa" w:w="1728"/>
          </w:tcPr>
          <w:p>
            <w:r>
              <w:rPr>
                <w:rFonts w:ascii="Calibri" w:hAnsi="Calibri"/>
                <w:sz w:val="22"/>
              </w:rPr>
              <w:t>$800–$880M</w:t>
            </w:r>
          </w:p>
        </w:tc>
        <w:tc>
          <w:tcPr>
            <w:tcW w:type="dxa" w:w="1728"/>
          </w:tcPr>
          <w:p>
            <w:r>
              <w:rPr>
                <w:rFonts w:ascii="Calibri" w:hAnsi="Calibri"/>
                <w:sz w:val="22"/>
              </w:rPr>
              <w:t>—</w:t>
            </w:r>
          </w:p>
        </w:tc>
        <w:tc>
          <w:tcPr>
            <w:tcW w:type="dxa" w:w="1728"/>
          </w:tcPr>
          <w:p>
            <w:r>
              <w:rPr>
                <w:rFonts w:ascii="Calibri" w:hAnsi="Calibri"/>
                <w:sz w:val="22"/>
              </w:rPr>
              <w:t>N/A (segment not separately tracked in VA)</w:t>
            </w:r>
          </w:p>
        </w:tc>
        <w:tc>
          <w:tcPr>
            <w:tcW w:type="dxa" w:w="1728"/>
          </w:tcPr>
          <w:p>
            <w:r>
              <w:rPr>
                <w:rFonts w:ascii="Calibri" w:hAnsi="Calibri"/>
                <w:sz w:val="22"/>
              </w:rPr>
              <w:t>Niktimvo tracking well; Monjuvi FL uptake strong; Zynyz SCAC adoption rapid</w:t>
            </w:r>
          </w:p>
        </w:tc>
      </w:tr>
      <w:tr>
        <w:tc>
          <w:tcPr>
            <w:tcW w:type="dxa" w:w="1728"/>
          </w:tcPr>
          <w:p>
            <w:r>
              <w:rPr>
                <w:rFonts w:ascii="Calibri" w:hAnsi="Calibri"/>
                <w:sz w:val="22"/>
              </w:rPr>
              <w:t>R&amp;D + SG&amp;A (FY 2026, GAAP)</w:t>
            </w:r>
          </w:p>
        </w:tc>
        <w:tc>
          <w:tcPr>
            <w:tcW w:type="dxa" w:w="1728"/>
          </w:tcPr>
          <w:p>
            <w:r>
              <w:rPr>
                <w:rFonts w:ascii="Calibri" w:hAnsi="Calibri"/>
                <w:sz w:val="22"/>
              </w:rPr>
              <w:t>$3,495–$3,675M</w:t>
            </w:r>
          </w:p>
        </w:tc>
        <w:tc>
          <w:tcPr>
            <w:tcW w:type="dxa" w:w="1728"/>
          </w:tcPr>
          <w:p>
            <w:r>
              <w:rPr>
                <w:rFonts w:ascii="Calibri" w:hAnsi="Calibri"/>
                <w:sz w:val="22"/>
              </w:rPr>
              <w:t>Vega R&amp;D charge (~$1.25B) will be added in Q3 GAAP</w:t>
            </w:r>
          </w:p>
        </w:tc>
        <w:tc>
          <w:tcPr>
            <w:tcW w:type="dxa" w:w="1728"/>
          </w:tcPr>
          <w:p>
            <w:r>
              <w:rPr>
                <w:rFonts w:ascii="Calibri" w:hAnsi="Calibri"/>
                <w:sz w:val="22"/>
              </w:rPr>
              <w:t>$2,731M R&amp;D + $1,272M SG&amp;A (adj.)</w:t>
            </w:r>
          </w:p>
        </w:tc>
        <w:tc>
          <w:tcPr>
            <w:tcW w:type="dxa" w:w="1728"/>
          </w:tcPr>
          <w:p>
            <w:r>
              <w:rPr>
                <w:rFonts w:ascii="Calibri" w:hAnsi="Calibri"/>
                <w:sz w:val="22"/>
              </w:rPr>
              <w:t>↑ Vega acquisition (July 6, 8-K) will be recorded as one-time R&amp;D expense in Q3 2026 GAAP and non-GAAP; operating expense guidance will need to be updated</w:t>
            </w:r>
          </w:p>
        </w:tc>
      </w:tr>
      <w:tr>
        <w:tc>
          <w:tcPr>
            <w:tcW w:type="dxa" w:w="1728"/>
          </w:tcPr>
          <w:p>
            <w:r>
              <w:rPr>
                <w:rFonts w:ascii="Calibri" w:hAnsi="Calibri"/>
                <w:sz w:val="22"/>
              </w:rPr>
              <w:t>Cost of Sales (FY 2026)</w:t>
            </w:r>
          </w:p>
        </w:tc>
        <w:tc>
          <w:tcPr>
            <w:tcW w:type="dxa" w:w="1728"/>
          </w:tcPr>
          <w:p>
            <w:r>
              <w:rPr>
                <w:rFonts w:ascii="Calibri" w:hAnsi="Calibri"/>
                <w:sz w:val="22"/>
              </w:rPr>
              <w:t>~9% of net sales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stable gross margin profile</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have moved up materially since the Q1 print — revenue consensus rose from $1.37B to $1.50B (+10%) and operating EPS from $1.80 to $2.25 (+25%) — driven primarily by the Opzelura CMS benefit and Jakafi XR launch optimism; FY 2026 revenue consensus is tracking well above the initial guidance range, suggesting the street is already pricing in a guidance raise at tomorrow's 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(Period)</w:t>
            </w:r>
          </w:p>
        </w:tc>
        <w:tc>
          <w:tcPr>
            <w:tcW w:type="dxa" w:w="1080"/>
          </w:tcPr>
          <w:p>
            <w:r>
              <w:rPr>
                <w:rFonts w:ascii="Calibri" w:hAnsi="Calibri"/>
                <w:b/>
                <w:sz w:val="22"/>
              </w:rPr>
              <w:t>Estimate (5 Days Post Q1 Earnings, ~May 5, 2026)</w:t>
            </w:r>
          </w:p>
        </w:tc>
        <w:tc>
          <w:tcPr>
            <w:tcW w:type="dxa" w:w="1080"/>
          </w:tcPr>
          <w:p>
            <w:r>
              <w:rPr>
                <w:rFonts w:ascii="Calibri" w:hAnsi="Calibri"/>
                <w:b/>
                <w:sz w:val="22"/>
              </w:rPr>
              <w:t>Current Consensus</w:t>
            </w:r>
          </w:p>
        </w:tc>
        <w:tc>
          <w:tcPr>
            <w:tcW w:type="dxa" w:w="1080"/>
          </w:tcPr>
          <w:p>
            <w:r>
              <w:rPr>
                <w:rFonts w:ascii="Calibri" w:hAnsi="Calibri"/>
                <w:b/>
                <w:sz w:val="22"/>
              </w:rPr>
              <w:t>Estimate Δ (%)</w:t>
            </w:r>
          </w:p>
        </w:tc>
        <w:tc>
          <w:tcPr>
            <w:tcW w:type="dxa" w:w="1080"/>
          </w:tcPr>
          <w:p>
            <w:r>
              <w:rPr>
                <w:rFonts w:ascii="Calibri" w:hAnsi="Calibri"/>
                <w:b/>
                <w:sz w:val="22"/>
              </w:rPr>
              <w:t>Initial Guidance (Q1 Call)</w:t>
            </w:r>
          </w:p>
        </w:tc>
        <w:tc>
          <w:tcPr>
            <w:tcW w:type="dxa" w:w="1080"/>
          </w:tcPr>
          <w:p>
            <w:r>
              <w:rPr>
                <w:rFonts w:ascii="Calibri" w:hAnsi="Calibri"/>
                <w:b/>
                <w:sz w:val="22"/>
              </w:rPr>
              <w:t>Current Guidance</w:t>
            </w:r>
          </w:p>
        </w:tc>
        <w:tc>
          <w:tcPr>
            <w:tcW w:type="dxa" w:w="1080"/>
          </w:tcPr>
          <w:p>
            <w:r>
              <w:rPr>
                <w:rFonts w:ascii="Calibri" w:hAnsi="Calibri"/>
                <w:b/>
                <w:sz w:val="22"/>
              </w:rPr>
              <w:t>Guidance Δ</w:t>
            </w:r>
          </w:p>
        </w:tc>
        <w:tc>
          <w:tcPr>
            <w:tcW w:type="dxa" w:w="1080"/>
          </w:tcPr>
          <w:p>
            <w:r>
              <w:rPr>
                <w:rFonts w:ascii="Calibri" w:hAnsi="Calibri"/>
                <w:b/>
                <w:sz w:val="22"/>
              </w:rPr>
              <w:t>Cons. vs. Guidance (%)</w:t>
            </w:r>
          </w:p>
        </w:tc>
      </w:tr>
      <w:tr>
        <w:tc>
          <w:tcPr>
            <w:tcW w:type="dxa" w:w="1080"/>
          </w:tcPr>
          <w:p>
            <w:r>
              <w:rPr>
                <w:rFonts w:ascii="Calibri" w:hAnsi="Calibri"/>
                <w:sz w:val="22"/>
              </w:rPr>
              <w:t>Total Revenue (Q2 2026)</w:t>
            </w:r>
          </w:p>
        </w:tc>
        <w:tc>
          <w:tcPr>
            <w:tcW w:type="dxa" w:w="1080"/>
          </w:tcPr>
          <w:p>
            <w:r>
              <w:rPr>
                <w:rFonts w:ascii="Calibri" w:hAnsi="Calibri"/>
                <w:sz w:val="22"/>
              </w:rPr>
              <w:t>$1,366.3M</w:t>
            </w:r>
          </w:p>
        </w:tc>
        <w:tc>
          <w:tcPr>
            <w:tcW w:type="dxa" w:w="1080"/>
          </w:tcPr>
          <w:p>
            <w:r>
              <w:rPr>
                <w:rFonts w:ascii="Calibri" w:hAnsi="Calibri"/>
                <w:sz w:val="22"/>
              </w:rPr>
              <w:t>$1,504.6M</w:t>
            </w:r>
          </w:p>
        </w:tc>
        <w:tc>
          <w:tcPr>
            <w:tcW w:type="dxa" w:w="1080"/>
          </w:tcPr>
          <w:p>
            <w:r>
              <w:rPr>
                <w:rFonts w:ascii="Calibri" w:hAnsi="Calibri"/>
                <w:b/>
                <w:color w:val="30A46C"/>
                <w:sz w:val="22"/>
              </w:rPr>
              <w:t>+10.1%</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Jakafi Net Sales (Q2 2026)</w:t>
            </w:r>
          </w:p>
        </w:tc>
        <w:tc>
          <w:tcPr>
            <w:tcW w:type="dxa" w:w="1080"/>
          </w:tcPr>
          <w:p>
            <w:r>
              <w:rPr>
                <w:rFonts w:ascii="Calibri" w:hAnsi="Calibri"/>
                <w:sz w:val="22"/>
              </w:rPr>
              <w:t>$917.4M</w:t>
            </w:r>
          </w:p>
        </w:tc>
        <w:tc>
          <w:tcPr>
            <w:tcW w:type="dxa" w:w="1080"/>
          </w:tcPr>
          <w:p>
            <w:r>
              <w:rPr>
                <w:rFonts w:ascii="Calibri" w:hAnsi="Calibri"/>
                <w:sz w:val="22"/>
              </w:rPr>
              <w:t>$919.8M</w:t>
            </w:r>
          </w:p>
        </w:tc>
        <w:tc>
          <w:tcPr>
            <w:tcW w:type="dxa" w:w="1080"/>
          </w:tcPr>
          <w:p>
            <w:r>
              <w:rPr>
                <w:rFonts w:ascii="Calibri" w:hAnsi="Calibri"/>
                <w:sz w:val="22"/>
              </w:rPr>
              <w:t>+0.3%</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Opzelura Net Sales (Q2 2026)</w:t>
            </w:r>
          </w:p>
        </w:tc>
        <w:tc>
          <w:tcPr>
            <w:tcW w:type="dxa" w:w="1080"/>
          </w:tcPr>
          <w:p>
            <w:r>
              <w:rPr>
                <w:rFonts w:ascii="Calibri" w:hAnsi="Calibri"/>
                <w:sz w:val="22"/>
              </w:rPr>
              <w:t>$187.3M</w:t>
            </w:r>
          </w:p>
        </w:tc>
        <w:tc>
          <w:tcPr>
            <w:tcW w:type="dxa" w:w="1080"/>
          </w:tcPr>
          <w:p>
            <w:r>
              <w:rPr>
                <w:rFonts w:ascii="Calibri" w:hAnsi="Calibri"/>
                <w:sz w:val="22"/>
              </w:rPr>
              <w:t>$309.7M</w:t>
            </w:r>
          </w:p>
        </w:tc>
        <w:tc>
          <w:tcPr>
            <w:tcW w:type="dxa" w:w="1080"/>
          </w:tcPr>
          <w:p>
            <w:r>
              <w:rPr>
                <w:rFonts w:ascii="Calibri" w:hAnsi="Calibri"/>
                <w:b/>
                <w:color w:val="30A46C"/>
                <w:sz w:val="22"/>
              </w:rPr>
              <w:t>+65.3%</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(Q2 2026)</w:t>
            </w:r>
          </w:p>
        </w:tc>
        <w:tc>
          <w:tcPr>
            <w:tcW w:type="dxa" w:w="1080"/>
          </w:tcPr>
          <w:p>
            <w:r>
              <w:rPr>
                <w:rFonts w:ascii="Calibri" w:hAnsi="Calibri"/>
                <w:sz w:val="22"/>
              </w:rPr>
              <w:t>$1.80</w:t>
            </w:r>
          </w:p>
        </w:tc>
        <w:tc>
          <w:tcPr>
            <w:tcW w:type="dxa" w:w="1080"/>
          </w:tcPr>
          <w:p>
            <w:r>
              <w:rPr>
                <w:rFonts w:ascii="Calibri" w:hAnsi="Calibri"/>
                <w:sz w:val="22"/>
              </w:rPr>
              <w:t>$2.25</w:t>
            </w:r>
          </w:p>
        </w:tc>
        <w:tc>
          <w:tcPr>
            <w:tcW w:type="dxa" w:w="1080"/>
          </w:tcPr>
          <w:p>
            <w:r>
              <w:rPr>
                <w:rFonts w:ascii="Calibri" w:hAnsi="Calibri"/>
                <w:b/>
                <w:color w:val="30A46C"/>
                <w:sz w:val="22"/>
              </w:rPr>
              <w:t>+25.0%</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(FY 2026)</w:t>
            </w:r>
          </w:p>
        </w:tc>
        <w:tc>
          <w:tcPr>
            <w:tcW w:type="dxa" w:w="1080"/>
          </w:tcPr>
          <w:p>
            <w:r>
              <w:rPr>
                <w:rFonts w:ascii="Calibri" w:hAnsi="Calibri"/>
                <w:sz w:val="22"/>
              </w:rPr>
              <w:t>$5,615.8M</w:t>
            </w:r>
          </w:p>
        </w:tc>
        <w:tc>
          <w:tcPr>
            <w:tcW w:type="dxa" w:w="1080"/>
          </w:tcPr>
          <w:p>
            <w:r>
              <w:rPr>
                <w:rFonts w:ascii="Calibri" w:hAnsi="Calibri"/>
                <w:sz w:val="22"/>
              </w:rPr>
              <w:t>$5,748.5M</w:t>
            </w:r>
          </w:p>
        </w:tc>
        <w:tc>
          <w:tcPr>
            <w:tcW w:type="dxa" w:w="1080"/>
          </w:tcPr>
          <w:p>
            <w:r>
              <w:rPr>
                <w:rFonts w:ascii="Calibri" w:hAnsi="Calibri"/>
                <w:b/>
                <w:color w:val="30A46C"/>
                <w:sz w:val="22"/>
              </w:rPr>
              <w:t>+2.4%</w:t>
            </w:r>
          </w:p>
        </w:tc>
        <w:tc>
          <w:tcPr>
            <w:tcW w:type="dxa" w:w="1080"/>
          </w:tcPr>
          <w:p>
            <w:r>
              <w:rPr>
                <w:rFonts w:ascii="Calibri" w:hAnsi="Calibri"/>
                <w:sz w:val="22"/>
              </w:rPr>
              <w:t>$4,770–$4,940M (net sales)</w:t>
            </w:r>
          </w:p>
        </w:tc>
        <w:tc>
          <w:tcPr>
            <w:tcW w:type="dxa" w:w="1080"/>
          </w:tcPr>
          <w:p>
            <w:r>
              <w:rPr>
                <w:rFonts w:ascii="Calibri" w:hAnsi="Calibri"/>
                <w:sz w:val="22"/>
              </w:rPr>
              <w:t>Update expected at Q2 print</w:t>
            </w:r>
          </w:p>
        </w:tc>
        <w:tc>
          <w:tcPr>
            <w:tcW w:type="dxa" w:w="1080"/>
          </w:tcPr>
          <w:p>
            <w:r>
              <w:rPr>
                <w:rFonts w:ascii="Calibri" w:hAnsi="Calibri"/>
                <w:sz w:val="22"/>
              </w:rPr>
              <w:t>TBD</w:t>
            </w:r>
          </w:p>
        </w:tc>
        <w:tc>
          <w:tcPr>
            <w:tcW w:type="dxa" w:w="1080"/>
          </w:tcPr>
          <w:p>
            <w:r>
              <w:rPr>
                <w:rFonts w:ascii="Calibri" w:hAnsi="Calibri"/>
                <w:sz w:val="22"/>
              </w:rPr>
              <w:t>+16.4% above mid</w:t>
            </w:r>
          </w:p>
        </w:tc>
      </w:tr>
      <w:tr>
        <w:tc>
          <w:tcPr>
            <w:tcW w:type="dxa" w:w="1080"/>
          </w:tcPr>
          <w:p>
            <w:r>
              <w:rPr>
                <w:rFonts w:ascii="Calibri" w:hAnsi="Calibri"/>
                <w:sz w:val="22"/>
              </w:rPr>
              <w:t>Jakafi Net Sales (FY 2026)</w:t>
            </w:r>
          </w:p>
        </w:tc>
        <w:tc>
          <w:tcPr>
            <w:tcW w:type="dxa" w:w="1080"/>
          </w:tcPr>
          <w:p>
            <w:r>
              <w:rPr>
                <w:rFonts w:ascii="Calibri" w:hAnsi="Calibri"/>
                <w:sz w:val="22"/>
              </w:rPr>
              <w:t>$3,713.3M</w:t>
            </w:r>
          </w:p>
        </w:tc>
        <w:tc>
          <w:tcPr>
            <w:tcW w:type="dxa" w:w="1080"/>
          </w:tcPr>
          <w:p>
            <w:r>
              <w:rPr>
                <w:rFonts w:ascii="Calibri" w:hAnsi="Calibri"/>
                <w:sz w:val="22"/>
              </w:rPr>
              <w:t>$3,720.2M</w:t>
            </w:r>
          </w:p>
        </w:tc>
        <w:tc>
          <w:tcPr>
            <w:tcW w:type="dxa" w:w="1080"/>
          </w:tcPr>
          <w:p>
            <w:r>
              <w:rPr>
                <w:rFonts w:ascii="Calibri" w:hAnsi="Calibri"/>
                <w:sz w:val="22"/>
              </w:rPr>
              <w:t>+0.2%</w:t>
            </w:r>
          </w:p>
        </w:tc>
        <w:tc>
          <w:tcPr>
            <w:tcW w:type="dxa" w:w="1080"/>
          </w:tcPr>
          <w:p>
            <w:r>
              <w:rPr>
                <w:rFonts w:ascii="Calibri" w:hAnsi="Calibri"/>
                <w:sz w:val="22"/>
              </w:rPr>
              <w:t>$3,220–$3,270M</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+14.5% above mid</w:t>
            </w:r>
          </w:p>
        </w:tc>
      </w:tr>
      <w:tr>
        <w:tc>
          <w:tcPr>
            <w:tcW w:type="dxa" w:w="1080"/>
          </w:tcPr>
          <w:p>
            <w:r>
              <w:rPr>
                <w:rFonts w:ascii="Calibri" w:hAnsi="Calibri"/>
                <w:sz w:val="22"/>
              </w:rPr>
              <w:t>Opzelura Net Sales (FY 2026)</w:t>
            </w:r>
          </w:p>
        </w:tc>
        <w:tc>
          <w:tcPr>
            <w:tcW w:type="dxa" w:w="1080"/>
          </w:tcPr>
          <w:p>
            <w:r>
              <w:rPr>
                <w:rFonts w:ascii="Calibri" w:hAnsi="Calibri"/>
                <w:sz w:val="22"/>
              </w:rPr>
              <w:t>$775.4M</w:t>
            </w:r>
          </w:p>
        </w:tc>
        <w:tc>
          <w:tcPr>
            <w:tcW w:type="dxa" w:w="1080"/>
          </w:tcPr>
          <w:p>
            <w:r>
              <w:rPr>
                <w:rFonts w:ascii="Calibri" w:hAnsi="Calibri"/>
                <w:sz w:val="22"/>
              </w:rPr>
              <w:t>$895.5M</w:t>
            </w:r>
          </w:p>
        </w:tc>
        <w:tc>
          <w:tcPr>
            <w:tcW w:type="dxa" w:w="1080"/>
          </w:tcPr>
          <w:p>
            <w:r>
              <w:rPr>
                <w:rFonts w:ascii="Calibri" w:hAnsi="Calibri"/>
                <w:b/>
                <w:color w:val="30A46C"/>
                <w:sz w:val="22"/>
              </w:rPr>
              <w:t>+15.5%</w:t>
            </w:r>
          </w:p>
        </w:tc>
        <w:tc>
          <w:tcPr>
            <w:tcW w:type="dxa" w:w="1080"/>
          </w:tcPr>
          <w:p>
            <w:r>
              <w:rPr>
                <w:rFonts w:ascii="Calibri" w:hAnsi="Calibri"/>
                <w:sz w:val="22"/>
              </w:rPr>
              <w:t>$750–$790M</w:t>
            </w:r>
          </w:p>
        </w:tc>
        <w:tc>
          <w:tcPr>
            <w:tcW w:type="dxa" w:w="1080"/>
          </w:tcPr>
          <w:p>
            <w:r>
              <w:rPr>
                <w:rFonts w:ascii="Calibri" w:hAnsi="Calibri"/>
                <w:sz w:val="22"/>
              </w:rPr>
              <w:t>Raise expected at Q2 print</w:t>
            </w:r>
          </w:p>
        </w:tc>
        <w:tc>
          <w:tcPr>
            <w:tcW w:type="dxa" w:w="1080"/>
          </w:tcPr>
          <w:p>
            <w:r>
              <w:rPr>
                <w:rFonts w:ascii="Calibri" w:hAnsi="Calibri"/>
                <w:sz w:val="22"/>
              </w:rPr>
              <w:t>↑ CMS benefit</w:t>
            </w:r>
          </w:p>
        </w:tc>
        <w:tc>
          <w:tcPr>
            <w:tcW w:type="dxa" w:w="1080"/>
          </w:tcPr>
          <w:p>
            <w:r>
              <w:rPr>
                <w:rFonts w:ascii="Calibri" w:hAnsi="Calibri"/>
                <w:sz w:val="22"/>
              </w:rPr>
              <w:t>+15.5% above mid</w:t>
            </w:r>
          </w:p>
        </w:tc>
      </w:tr>
      <w:tr>
        <w:tc>
          <w:tcPr>
            <w:tcW w:type="dxa" w:w="1080"/>
          </w:tcPr>
          <w:p>
            <w:r>
              <w:rPr>
                <w:rFonts w:ascii="Calibri" w:hAnsi="Calibri"/>
                <w:sz w:val="22"/>
              </w:rPr>
              <w:t>Operating EPS (FY 2026)</w:t>
            </w:r>
          </w:p>
        </w:tc>
        <w:tc>
          <w:tcPr>
            <w:tcW w:type="dxa" w:w="1080"/>
          </w:tcPr>
          <w:p>
            <w:r>
              <w:rPr>
                <w:rFonts w:ascii="Calibri" w:hAnsi="Calibri"/>
                <w:sz w:val="22"/>
              </w:rPr>
              <w:t>$7.67</w:t>
            </w:r>
          </w:p>
        </w:tc>
        <w:tc>
          <w:tcPr>
            <w:tcW w:type="dxa" w:w="1080"/>
          </w:tcPr>
          <w:p>
            <w:r>
              <w:rPr>
                <w:rFonts w:ascii="Calibri" w:hAnsi="Calibri"/>
                <w:sz w:val="22"/>
              </w:rPr>
              <w:t>$5.44</w:t>
            </w:r>
          </w:p>
        </w:tc>
        <w:tc>
          <w:tcPr>
            <w:tcW w:type="dxa" w:w="1080"/>
          </w:tcPr>
          <w:p>
            <w:r>
              <w:rPr>
                <w:rFonts w:ascii="Calibri" w:hAnsi="Calibri"/>
                <w:b/>
                <w:color w:val="E5484D"/>
                <w:sz w:val="22"/>
              </w:rPr>
              <w:t>-29.1%</w:t>
            </w:r>
          </w:p>
        </w:tc>
        <w:tc>
          <w:tcPr>
            <w:tcW w:type="dxa" w:w="1080"/>
          </w:tcPr>
          <w:p>
            <w:r>
              <w:rPr>
                <w:rFonts w:ascii="Calibri" w:hAnsi="Calibri"/>
                <w:sz w:val="22"/>
              </w:rPr>
              <w:t>No EPS guidance</w:t>
            </w:r>
          </w:p>
        </w:tc>
        <w:tc>
          <w:tcPr>
            <w:tcW w:type="dxa" w:w="1080"/>
          </w:tcPr>
          <w:p>
            <w:r>
              <w:rPr>
                <w:rFonts w:ascii="Calibri" w:hAnsi="Calibri"/>
                <w:sz w:val="22"/>
              </w:rPr>
              <w:t>No EPS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and Actuals Data. The Opzelura Q2 2026 consensus revision of +65% since the Q1 print is almost entirely attributable to the $246M non-cash CMS benefit. The FY 2026 operating EPS consensus decline reflects the Vega acquisition R&amp;D charge (~$1.25B) being incorporated into non-GAAP estimates by some analysts. Jakafi estimates are stable, consistent with management's unchanged guidance. The large gap between FY consensus revenue ($5.75B) and guidance midpoint ($4.855B net sales) reflects the CMS benefit and analysts modeling total revenue (including royalties and milestones) vs. management's net sales guidance.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INCY has outperformed both XBI (+22% vs. +15%) and the S&amp;P 500 (+22% vs. +4%) since Q1 earnings, driven by a combination of multiple expansion and positive pipeline catalysts (Vega acquisition, CMS settlement, Jakafi XR launch); the stock's re-rating from ~$98 to ~$119 reflects improving sentiment on the post-Jakafi LOE story, but the move has been largely multiple-driven rather than estimate-driven, leaving the stock dependent on execution at tomorrow's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INCY vs. XBI (SPDR S&amp;P Biotech ETF) vs. S&amp;P 500 (SPY) — Indexed to 100 at Q1 2026 Earnings (Apr 28, 2026). INCY: +21.6% | XBI: +14.8% | SPY: +3.8%. Key events marked: Vega Therapeutics Acquisition Announced (Jun 8), CMS Opzelura Litigation Resolved (Jun 22), Vega Acquisition Completed (Jul 6). Source: Stock Price Data.</w:t>
      </w:r>
    </w:p>
    <w:p>
      <w:r>
        <w:rPr>
          <w:rFonts w:ascii="Calibri" w:hAnsi="Calibri"/>
          <w:b/>
          <w:color w:val="525866"/>
          <w:sz w:val="22"/>
        </w:rPr>
        <w:t xml:space="preserve">Performance Detail: </w:t>
      </w:r>
      <w:r>
        <w:rPr>
          <w:rFonts w:ascii="Calibri" w:hAnsi="Calibri"/>
          <w:color w:val="525866"/>
          <w:sz w:val="22"/>
        </w:rPr>
        <w:t>INCY closed at $97.74 on April 28 (Q1 earnings day) and traded at $118.87 on July 28, 2026 (today, earnings day), a gain of +21.6%. The stock initially dipped to ~$92 on June 2 before recovering sharply on the Vega acquisition announcement (June 8, +$3.26 on the day) and the CMS Opzelura settlement (June 22, +$5.44 on the day). The XBI sector ETF was used as the benchmark given INCY's primary classification as a large-cap biotech. The stock's outperformance vs. XBI (+6.8 percentage points) suggests company-specific catalysts rather than sector tailwinds drove the move.</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CMS/Opzelura rebate litigation resolution (June 22), which delivers a $246M non-cash Q2 benefit and permanently improves Opzelura's gross-to-net economics — this is a structural positive that should drive a guidance raise at tomorrow's print; the Vega acquisition close (July 6) adds a Phase 3 hematology asset but will create a large Q3 R&amp;D charge.</w:t>
      </w:r>
    </w:p>
    <w:p>
      <w:pPr>
        <w:pStyle w:val="ListBullet"/>
        <w:ind w:left="360" w:hanging="360"/>
      </w:pPr>
      <w:r>
        <w:rPr>
          <w:rFonts w:ascii="Calibri" w:hAnsi="Calibri"/>
          <w:b/>
          <w:color w:val="525866"/>
          <w:sz w:val="22"/>
        </w:rPr>
        <w:t xml:space="preserve">June 22, 2026 — CMS/Opzelura Medicaid Rebate Litigation Resolved (8-K): </w:t>
      </w:r>
      <w:r>
        <w:rPr>
          <w:rFonts w:ascii="Calibri" w:hAnsi="Calibri"/>
          <w:color w:val="525866"/>
          <w:sz w:val="22"/>
        </w:rPr>
        <w:t xml:space="preserve">Incyte reached an agreement with CMS to not apply the line extension regulation to Opzelura as if it were a line extension of Jakafi. The company will record a one-time, non-cash benefit of approximately $246M in Q2 2026 from reversal of previously established accrual balances. Going forward, Opzelura will no longer accrue for line extension rebates, improving gross-to-net on a permanent basis. Management guided to update financial guidance at the next earnings release (tomorrow). </w:t>
      </w:r>
      <w:r>
        <w:rPr>
          <w:rFonts w:ascii="Calibri" w:hAnsi="Calibri"/>
          <w:b/>
          <w:color w:val="525866"/>
          <w:sz w:val="22"/>
        </w:rPr>
        <w:t xml:space="preserve">Implication: </w:t>
      </w:r>
      <w:r>
        <w:rPr>
          <w:rFonts w:ascii="Calibri" w:hAnsi="Calibri"/>
          <w:color w:val="525866"/>
          <w:sz w:val="22"/>
        </w:rPr>
        <w:t>This is the single largest financial event since Q1 earnings and will drive a meaningful Opzelura revenue beat vs. pre-settlement consensus; the go-forward gross-to-net improvement is a structural positive for Opzelura's long-term revenue trajectory.</w:t>
      </w:r>
    </w:p>
    <w:p>
      <w:pPr>
        <w:pStyle w:val="ListBullet"/>
        <w:ind w:left="360" w:hanging="360"/>
      </w:pPr>
      <w:r>
        <w:rPr>
          <w:rFonts w:ascii="Calibri" w:hAnsi="Calibri"/>
          <w:b/>
          <w:color w:val="525866"/>
          <w:sz w:val="22"/>
        </w:rPr>
        <w:t xml:space="preserve">July 6, 2026 — Vega Therapeutics Acquisition Completed (8-K): </w:t>
      </w:r>
      <w:r>
        <w:rPr>
          <w:rFonts w:ascii="Calibri" w:hAnsi="Calibri"/>
          <w:color w:val="525866"/>
          <w:sz w:val="22"/>
        </w:rPr>
        <w:t xml:space="preserve">Incyte completed the acquisition of Vega Therapeutics (Star Therapeutics subsidiary) for $1.25B upfront plus up to $750M in sales milestones, adding VGA039 — a Phase 3 Protein S-targeting monoclonal antibody for von Willebrand disease (VWD) with FDA Breakthrough Therapy, Fast Track, orphan drug, and rare pediatric disease designations. The VIVID-6 Phase 3 study is enrolling all VWD types. The transaction will be recorded as a one-time R&amp;D expense in Q3 2026 GAAP and non-GAAP results. </w:t>
      </w:r>
      <w:r>
        <w:rPr>
          <w:rFonts w:ascii="Calibri" w:hAnsi="Calibri"/>
          <w:b/>
          <w:color w:val="525866"/>
          <w:sz w:val="22"/>
        </w:rPr>
        <w:t xml:space="preserve">Implication: </w:t>
      </w:r>
      <w:r>
        <w:rPr>
          <w:rFonts w:ascii="Calibri" w:hAnsi="Calibri"/>
          <w:color w:val="525866"/>
          <w:sz w:val="22"/>
        </w:rPr>
        <w:t>Adds a potentially first-in-class subcutaneous prophylactic therapy for ~7,000–10,000 severe VWD patients; management framed peak sales at ~$1B+. The Q3 R&amp;D charge will be a significant headwind to GAAP/non-GAAP EPS in Q3.</w:t>
      </w:r>
    </w:p>
    <w:p>
      <w:pPr>
        <w:pStyle w:val="ListBullet"/>
        <w:ind w:left="360" w:hanging="360"/>
      </w:pPr>
      <w:r>
        <w:rPr>
          <w:rFonts w:ascii="Calibri" w:hAnsi="Calibri"/>
          <w:b/>
          <w:color w:val="525866"/>
          <w:sz w:val="22"/>
        </w:rPr>
        <w:t xml:space="preserve">May 2026 — Jakafi XR FDA Approval and Launch: </w:t>
      </w:r>
      <w:r>
        <w:rPr>
          <w:rFonts w:ascii="Calibri" w:hAnsi="Calibri"/>
          <w:color w:val="525866"/>
          <w:sz w:val="22"/>
        </w:rPr>
        <w:t xml:space="preserve">Jakafi XR (extended-release formulation) received FDA approval in May 2026 and is actively launching. Approximately 30 days post-launch, Optum and CVS added XR to formulary along with ~14 regional plans and several Medicaid states. Early sales in the low tens of millions with year-end target in the range of several tens of millions. Conversion target of ~1–1.5% per month by January 2027. </w:t>
      </w:r>
      <w:r>
        <w:rPr>
          <w:rFonts w:ascii="Calibri" w:hAnsi="Calibri"/>
          <w:b/>
          <w:color w:val="525866"/>
          <w:sz w:val="22"/>
        </w:rPr>
        <w:t xml:space="preserve">Implication: </w:t>
      </w:r>
      <w:r>
        <w:rPr>
          <w:rFonts w:ascii="Calibri" w:hAnsi="Calibri"/>
          <w:color w:val="525866"/>
          <w:sz w:val="22"/>
        </w:rPr>
        <w:t>Jakafi XR is the primary LOE mitigation strategy; formulary coverage progress will be a key Q2 call topic. Any acceleration in conversion rates would be a positive signal.</w:t>
      </w:r>
    </w:p>
    <w:p>
      <w:pPr>
        <w:pStyle w:val="ListBullet"/>
        <w:ind w:left="360" w:hanging="360"/>
      </w:pPr>
      <w:r>
        <w:rPr>
          <w:rFonts w:ascii="Calibri" w:hAnsi="Calibri"/>
          <w:b/>
          <w:color w:val="525866"/>
          <w:sz w:val="22"/>
        </w:rPr>
        <w:t xml:space="preserve">April 28, 2026 — FDA Accepts Povo (Povorcitinib) NDA for Hidradenitis Suppurativa: </w:t>
      </w:r>
      <w:r>
        <w:rPr>
          <w:rFonts w:ascii="Calibri" w:hAnsi="Calibri"/>
          <w:color w:val="525866"/>
          <w:sz w:val="22"/>
        </w:rPr>
        <w:t xml:space="preserve">The FDA accepted Incyte's NDA for povorcitinib in moderate-to-severe HS, with potential approval and launch targeted for Q1 2027. Positive Phase 3 data from STOP-V1 and STOP-V2 in nonsegmental vitiligo also announced, supporting a first-half 2027 NDA filing. </w:t>
      </w:r>
      <w:r>
        <w:rPr>
          <w:rFonts w:ascii="Calibri" w:hAnsi="Calibri"/>
          <w:b/>
          <w:color w:val="525866"/>
          <w:sz w:val="22"/>
        </w:rPr>
        <w:t xml:space="preserve">Implication: </w:t>
      </w:r>
      <w:r>
        <w:rPr>
          <w:rFonts w:ascii="Calibri" w:hAnsi="Calibri"/>
          <w:color w:val="525866"/>
          <w:sz w:val="22"/>
        </w:rPr>
        <w:t>Povo represents a potential $500M–$1B peak sales opportunity in HS alone, with vitiligo (~$250M) and PN (comparable to vitiligo) as additional indications; the NDA acceptance de-risks the regulatory path.</w:t>
      </w:r>
    </w:p>
    <w:p>
      <w:pPr>
        <w:pStyle w:val="ListBullet"/>
        <w:ind w:left="360" w:hanging="360"/>
      </w:pPr>
      <w:r>
        <w:rPr>
          <w:rFonts w:ascii="Calibri" w:hAnsi="Calibri"/>
          <w:b/>
          <w:color w:val="525866"/>
          <w:sz w:val="22"/>
        </w:rPr>
        <w:t xml:space="preserve">Q2 2026 — INCA033989 Phase 3 ET Study Initiated: </w:t>
      </w:r>
      <w:r>
        <w:rPr>
          <w:rFonts w:ascii="Calibri" w:hAnsi="Calibri"/>
          <w:color w:val="525866"/>
          <w:sz w:val="22"/>
        </w:rPr>
        <w:t xml:space="preserve">The Phase 3 study evaluating 989 in previously treated CALR-positive ET patients initiated mid-year as planned following a positive end-of-phase FDA meeting. EHA featured updated ET data (~100 patients; overall CHR ~70%; type 1 CALR CHR ~90%) and updated MF data (SVR35 consistent with prior data; anemia response ~60% in pretreated patients). </w:t>
      </w:r>
      <w:r>
        <w:rPr>
          <w:rFonts w:ascii="Calibri" w:hAnsi="Calibri"/>
          <w:b/>
          <w:color w:val="525866"/>
          <w:sz w:val="22"/>
        </w:rPr>
        <w:t xml:space="preserve">Implication: </w:t>
      </w:r>
      <w:r>
        <w:rPr>
          <w:rFonts w:ascii="Calibri" w:hAnsi="Calibri"/>
          <w:color w:val="525866"/>
          <w:sz w:val="22"/>
        </w:rPr>
        <w:t>989 is the most important long-term pipeline asset; Phase 3 initiation on schedule is a key de-risking milestone. Management framed peak sales at $2–$3B across ET and MF.</w:t>
      </w:r>
    </w:p>
    <w:p>
      <w:pPr>
        <w:pStyle w:val="ListBullet"/>
        <w:ind w:left="360" w:hanging="360"/>
      </w:pPr>
      <w:r>
        <w:rPr>
          <w:rFonts w:ascii="Calibri" w:hAnsi="Calibri"/>
          <w:b/>
          <w:color w:val="525866"/>
          <w:sz w:val="22"/>
        </w:rPr>
        <w:t xml:space="preserve">Q2 2026 — Monjuvi frontMIND Phase 3 Data at ASCO/EHA: </w:t>
      </w:r>
      <w:r>
        <w:rPr>
          <w:rFonts w:ascii="Calibri" w:hAnsi="Calibri"/>
          <w:color w:val="525866"/>
          <w:sz w:val="22"/>
        </w:rPr>
        <w:t xml:space="preserve">frontMIND Phase 3 selected as plenary oral at both ASCO and EHA; HR of 0.75 with p=0.019 in IPI 3-5 DLBCL population (899 patients); data positive in both ABC and GCB subtypes. Global submissions for first-line DLBCL expected H1 2026, with approval and launch anticipated early 2027. </w:t>
      </w:r>
      <w:r>
        <w:rPr>
          <w:rFonts w:ascii="Calibri" w:hAnsi="Calibri"/>
          <w:b/>
          <w:color w:val="525866"/>
          <w:sz w:val="22"/>
        </w:rPr>
        <w:t xml:space="preserve">Implication: </w:t>
      </w:r>
      <w:r>
        <w:rPr>
          <w:rFonts w:ascii="Calibri" w:hAnsi="Calibri"/>
          <w:color w:val="525866"/>
          <w:sz w:val="22"/>
        </w:rPr>
        <w:t>Monjuvi first-line DLBCL approval would be a meaningful incremental revenue driver starting 2027; management framed a modest share of the frontline market as sufficient to double Monjuvi's size.</w:t>
      </w:r>
    </w:p>
    <w:p>
      <w:pPr>
        <w:pStyle w:val="ListBullet"/>
        <w:ind w:left="360" w:hanging="360"/>
      </w:pPr>
      <w:r>
        <w:rPr>
          <w:rFonts w:ascii="Calibri" w:hAnsi="Calibri"/>
          <w:b/>
          <w:color w:val="525866"/>
          <w:sz w:val="22"/>
        </w:rPr>
        <w:t xml:space="preserve">July 8, 2026 — Q2 2026 Earnings Date Confirmed: </w:t>
      </w:r>
      <w:r>
        <w:rPr>
          <w:rFonts w:ascii="Calibri" w:hAnsi="Calibri"/>
          <w:color w:val="525866"/>
          <w:sz w:val="22"/>
        </w:rPr>
        <w:t>Incyte confirmed Q2 2026 earnings will be reported July 28, 2026 before market open, with a conference call at 8:00 AM ET.</w:t>
      </w:r>
    </w:p>
    <w:p>
      <w:r>
        <w:br w:type="page"/>
      </w:r>
    </w:p>
    <w:p>
      <w:pPr>
        <w:pStyle w:val="Heading2"/>
      </w:pPr>
      <w:r>
        <w:rPr>
          <w:rFonts w:ascii="Calibri" w:hAnsi="Calibri"/>
          <w:b/>
          <w:color w:val="3B4259"/>
          <w:sz w:val="28"/>
        </w:rPr>
        <w:t>7. Peer Commentaries — Read-Through Analysis (Last 60 Days, Q2 2026 Relevant)</w:t>
      </w:r>
    </w:p>
    <w:p>
      <w:r>
        <w:rPr>
          <w:rFonts w:ascii="Calibri" w:hAnsi="Calibri"/>
          <w:b/>
          <w:color w:val="525866"/>
          <w:sz w:val="22"/>
        </w:rPr>
        <w:t xml:space="preserve">Key Takeaway: </w:t>
      </w:r>
      <w:r>
        <w:rPr>
          <w:rFonts w:ascii="Calibri" w:hAnsi="Calibri"/>
          <w:color w:val="525866"/>
          <w:sz w:val="22"/>
        </w:rPr>
        <w:t>Peer commentary from Q1 2026 earnings calls (reported April–May 2026) and subsequent events provides constructive read-throughs for INCY's Q2 setup: the dermatology/immunology market is growing robustly (ABBV, REGN), the HS market is being actively built by multiple players (ABBV), and the hematology/oncology space is seeing strong demand (BMY, LLY). The most relevant read-throughs are from AbbVie (HS/vitiligo/JAK inhibitor market dynamics), Regeneron (atopic dermatitis market growth), and Lilly (JAK2 inhibitor competitive landscape in MF/PV).</w:t>
      </w:r>
    </w:p>
    <w:p>
      <w:pPr>
        <w:pStyle w:val="Heading3"/>
      </w:pPr>
      <w:r>
        <w:rPr>
          <w:rFonts w:ascii="Calibri" w:hAnsi="Calibri"/>
          <w:b/>
          <w:color w:val="3B4259"/>
          <w:sz w:val="24"/>
        </w:rPr>
        <w:t>AbbVie (ABBV) — Q1 2026 Earnings Call (April 29, 2026)</w:t>
      </w:r>
    </w:p>
    <w:p>
      <w:r>
        <w:rPr>
          <w:rFonts w:ascii="Calibri" w:hAnsi="Calibri"/>
          <w:b/>
          <w:color w:val="525866"/>
          <w:sz w:val="22"/>
        </w:rPr>
        <w:t xml:space="preserve">Relevance to INCY: </w:t>
      </w:r>
      <w:r>
        <w:rPr>
          <w:rFonts w:ascii="Calibri" w:hAnsi="Calibri"/>
          <w:color w:val="525866"/>
          <w:sz w:val="22"/>
        </w:rPr>
        <w:t>High — AbbVie is the most direct read-through for INCY's dermatology franchise (Opzelura in AD/vitiligo, Povo in HS/vitiligo) and JAK inhibitor market dynamics.</w:t>
      </w:r>
    </w:p>
    <w:p>
      <w:pPr>
        <w:pStyle w:val="ListBullet"/>
        <w:ind w:left="360" w:hanging="360"/>
      </w:pPr>
      <w:r>
        <w:rPr>
          <w:rFonts w:ascii="Calibri" w:hAnsi="Calibri"/>
          <w:b/>
          <w:color w:val="525866"/>
          <w:sz w:val="22"/>
        </w:rPr>
        <w:t xml:space="preserve">HS Market Building Rapidly: </w:t>
      </w:r>
      <w:r>
        <w:rPr>
          <w:rFonts w:ascii="Calibri" w:hAnsi="Calibri"/>
          <w:color w:val="525866"/>
          <w:sz w:val="22"/>
        </w:rPr>
        <w:t xml:space="preserve">AbbVie stated it "built the HS market" and has Phase 3 studies for both Rinvoq and lutikizumab in HS with 16-week top-line results expected H2 2026. The Rinvoq HS study targets a "100% bio failure population" using HiSCR50; lutikizumab targets both naive and failure patients using HiSCR75. </w:t>
      </w:r>
      <w:r>
        <w:rPr>
          <w:rFonts w:ascii="Calibri" w:hAnsi="Calibri"/>
          <w:b/>
          <w:color w:val="525866"/>
          <w:sz w:val="22"/>
        </w:rPr>
        <w:t xml:space="preserve">INCY Read-Through: </w:t>
      </w:r>
      <w:r>
        <w:rPr>
          <w:rFonts w:ascii="Calibri" w:hAnsi="Calibri"/>
          <w:color w:val="525866"/>
          <w:sz w:val="22"/>
        </w:rPr>
        <w:t>Positive for Povo's HS opportunity — AbbVie's investment validates the HS market size and confirms multiple mechanisms can coexist. Povo's NDA acceptance (Q1 2027 launch target) positions it as the first oral anti-inflammatory for HS, ahead of Rinvoq's potential approval.</w:t>
      </w:r>
    </w:p>
    <w:p>
      <w:pPr>
        <w:pStyle w:val="ListBullet"/>
        <w:ind w:left="360" w:hanging="360"/>
      </w:pPr>
      <w:r>
        <w:rPr>
          <w:rFonts w:ascii="Calibri" w:hAnsi="Calibri"/>
          <w:b/>
          <w:color w:val="525866"/>
          <w:sz w:val="22"/>
        </w:rPr>
        <w:t xml:space="preserve">Rinvoq Vitiligo — First Truly Systemic Drug: </w:t>
      </w:r>
      <w:r>
        <w:rPr>
          <w:rFonts w:ascii="Calibri" w:hAnsi="Calibri"/>
          <w:color w:val="525866"/>
          <w:sz w:val="22"/>
        </w:rPr>
        <w:t xml:space="preserve">AbbVie described Rinvoq as poised to be the "first truly systemic drug" for vitiligo, noting data continues to build over time and requires consistent dosing to achieve meaningful inflammation suppression. AbbVie is planning for near-term commercialization of vitiligo and alopecia areata indications, with field force already expanded. </w:t>
      </w:r>
      <w:r>
        <w:rPr>
          <w:rFonts w:ascii="Calibri" w:hAnsi="Calibri"/>
          <w:b/>
          <w:color w:val="525866"/>
          <w:sz w:val="22"/>
        </w:rPr>
        <w:t xml:space="preserve">INCY Read-Through: </w:t>
      </w:r>
      <w:r>
        <w:rPr>
          <w:rFonts w:ascii="Calibri" w:hAnsi="Calibri"/>
          <w:color w:val="525866"/>
          <w:sz w:val="22"/>
        </w:rPr>
        <w:t>Mixed — Rinvoq in vitiligo is a future competitor to Povo (INCY's oral JAK1 for vitiligo, NDA targeted H1 2027). However, Opzelura (topical ruxolitinib) is already approved and growing in vitiligo, and the topical-to-oral continuum strategy positions INCY well across the BSA spectrum. AbbVie's confidence in the vitiligo market validates the opportunity size.</w:t>
      </w:r>
    </w:p>
    <w:p>
      <w:pPr>
        <w:pStyle w:val="ListBullet"/>
        <w:ind w:left="360" w:hanging="360"/>
      </w:pPr>
      <w:r>
        <w:rPr>
          <w:rFonts w:ascii="Calibri" w:hAnsi="Calibri"/>
          <w:b/>
          <w:color w:val="525866"/>
          <w:sz w:val="22"/>
        </w:rPr>
        <w:t xml:space="preserve">JAK Inhibitor Safety Narrative: </w:t>
      </w:r>
      <w:r>
        <w:rPr>
          <w:rFonts w:ascii="Calibri" w:hAnsi="Calibri"/>
          <w:color w:val="525866"/>
          <w:sz w:val="22"/>
        </w:rPr>
        <w:t xml:space="preserve">AbbVie is developing ABBV-848 (IRAK4 inhibitor) partly because it may offer "biologic-like efficacy, a favorable safety profile with no box warnings" — explicitly differentiating from the JAK inhibitor class's boxed warning. Regeneron also made indirect references to "orals that suppress both arms of the immune system" as a safety concern. </w:t>
      </w:r>
      <w:r>
        <w:rPr>
          <w:rFonts w:ascii="Calibri" w:hAnsi="Calibri"/>
          <w:b/>
          <w:color w:val="525866"/>
          <w:sz w:val="22"/>
        </w:rPr>
        <w:t xml:space="preserve">INCY Read-Through: </w:t>
      </w:r>
      <w:r>
        <w:rPr>
          <w:rFonts w:ascii="Calibri" w:hAnsi="Calibri"/>
          <w:color w:val="525866"/>
          <w:sz w:val="22"/>
        </w:rPr>
        <w:t>Modest negative — the JAK inhibitor class safety narrative (boxed warning) remains a headwind for Opzelura and Povo in competitive positioning, though Opzelura's topical route of administration and Povo's JAK1 selectivity partially mitigate this concern.</w:t>
      </w:r>
    </w:p>
    <w:p>
      <w:pPr>
        <w:pStyle w:val="ListBullet"/>
        <w:ind w:left="360" w:hanging="360"/>
      </w:pPr>
      <w:r>
        <w:rPr>
          <w:rFonts w:ascii="Calibri" w:hAnsi="Calibri"/>
          <w:b/>
          <w:color w:val="525866"/>
          <w:sz w:val="22"/>
        </w:rPr>
        <w:t xml:space="preserve">Skyrizi/Rinvoq Guidance Raised: </w:t>
      </w:r>
      <w:r>
        <w:rPr>
          <w:rFonts w:ascii="Calibri" w:hAnsi="Calibri"/>
          <w:color w:val="525866"/>
          <w:sz w:val="22"/>
        </w:rPr>
        <w:t xml:space="preserve">AbbVie raised FY 2026 guidance for Skyrizi to $21.6B (+$100M) and Rinvoq to $10.2B (+$100M), reflecting strong demand growth. Skyrizi NBRx hit all-time highs. </w:t>
      </w:r>
      <w:r>
        <w:rPr>
          <w:rFonts w:ascii="Calibri" w:hAnsi="Calibri"/>
          <w:b/>
          <w:color w:val="525866"/>
          <w:sz w:val="22"/>
        </w:rPr>
        <w:t xml:space="preserve">INCY Read-Through: </w:t>
      </w:r>
      <w:r>
        <w:rPr>
          <w:rFonts w:ascii="Calibri" w:hAnsi="Calibri"/>
          <w:color w:val="525866"/>
          <w:sz w:val="22"/>
        </w:rPr>
        <w:t>Positive for the broader immunology market — strong biologic demand suggests the overall dermatology/immunology market is growing, which benefits Opzelura's market expansion thesis.</w:t>
      </w:r>
    </w:p>
    <w:p>
      <w:pPr>
        <w:pStyle w:val="Heading3"/>
      </w:pPr>
      <w:r>
        <w:rPr>
          <w:rFonts w:ascii="Calibri" w:hAnsi="Calibri"/>
          <w:b/>
          <w:color w:val="3B4259"/>
          <w:sz w:val="24"/>
        </w:rPr>
        <w:t>Regeneron (REGN) — Q1 2026 Earnings Call (April 29, 2026)</w:t>
      </w:r>
    </w:p>
    <w:p>
      <w:r>
        <w:rPr>
          <w:rFonts w:ascii="Calibri" w:hAnsi="Calibri"/>
          <w:b/>
          <w:color w:val="525866"/>
          <w:sz w:val="22"/>
        </w:rPr>
        <w:t xml:space="preserve">Relevance to INCY: </w:t>
      </w:r>
      <w:r>
        <w:rPr>
          <w:rFonts w:ascii="Calibri" w:hAnsi="Calibri"/>
          <w:color w:val="525866"/>
          <w:sz w:val="22"/>
        </w:rPr>
        <w:t>Moderate — Dupixent's continued dominance in atopic dermatitis is the primary competitive context for Opzelura; REGN's commentary on market dynamics and patient demand is a useful read-through.</w:t>
      </w:r>
    </w:p>
    <w:p>
      <w:pPr>
        <w:pStyle w:val="ListBullet"/>
        <w:ind w:left="360" w:hanging="360"/>
      </w:pPr>
      <w:r>
        <w:rPr>
          <w:rFonts w:ascii="Calibri" w:hAnsi="Calibri"/>
          <w:b/>
          <w:color w:val="525866"/>
          <w:sz w:val="22"/>
        </w:rPr>
        <w:t xml:space="preserve">Dupixent AD Market Growing Strongly: </w:t>
      </w:r>
      <w:r>
        <w:rPr>
          <w:rFonts w:ascii="Calibri" w:hAnsi="Calibri"/>
          <w:color w:val="525866"/>
          <w:sz w:val="22"/>
        </w:rPr>
        <w:t xml:space="preserve">Dupixent global net sales grew 31% on a constant currency basis to $4.9B in Q1 2026, with US net sales up 35% YoY to $3.56B. Growth was broad-based across all approved indications. Dupixent is the #1 biologic prescribed by dermatologists. </w:t>
      </w:r>
      <w:r>
        <w:rPr>
          <w:rFonts w:ascii="Calibri" w:hAnsi="Calibri"/>
          <w:b/>
          <w:color w:val="525866"/>
          <w:sz w:val="22"/>
        </w:rPr>
        <w:t xml:space="preserve">INCY Read-Through: </w:t>
      </w:r>
      <w:r>
        <w:rPr>
          <w:rFonts w:ascii="Calibri" w:hAnsi="Calibri"/>
          <w:color w:val="525866"/>
          <w:sz w:val="22"/>
        </w:rPr>
        <w:t>Positive for Opzelura — the overall AD market is growing robustly, and Opzelura's positioning as the leading non-steroidal topical (46% share of new patient starts in Q1 2026, 2–4x more new patient starts than any other branded topical) is complementary to Dupixent rather than directly competitive. A growing market lifts all boats.</w:t>
      </w:r>
    </w:p>
    <w:p>
      <w:pPr>
        <w:pStyle w:val="ListBullet"/>
        <w:ind w:left="360" w:hanging="360"/>
      </w:pPr>
      <w:r>
        <w:rPr>
          <w:rFonts w:ascii="Calibri" w:hAnsi="Calibri"/>
          <w:b/>
          <w:color w:val="525866"/>
          <w:sz w:val="22"/>
        </w:rPr>
        <w:t xml:space="preserve">Mild AD Unmet Need Acknowledged: </w:t>
      </w:r>
      <w:r>
        <w:rPr>
          <w:rFonts w:ascii="Calibri" w:hAnsi="Calibri"/>
          <w:color w:val="525866"/>
          <w:sz w:val="22"/>
        </w:rPr>
        <w:t xml:space="preserve">REGN management noted "a lot of unmet need" in mild AD patients, suggesting potential for systemic biologics in milder patients. </w:t>
      </w:r>
      <w:r>
        <w:rPr>
          <w:rFonts w:ascii="Calibri" w:hAnsi="Calibri"/>
          <w:b/>
          <w:color w:val="525866"/>
          <w:sz w:val="22"/>
        </w:rPr>
        <w:t xml:space="preserve">INCY Read-Through: </w:t>
      </w:r>
      <w:r>
        <w:rPr>
          <w:rFonts w:ascii="Calibri" w:hAnsi="Calibri"/>
          <w:color w:val="525866"/>
          <w:sz w:val="22"/>
        </w:rPr>
        <w:t>Positive for Opzelura's mild HS study expansion (100 patients per arm added, enrollment strong) and for the topical-to-oral continuum strategy. Opzelura is the only program pursuing mild HS topically.</w:t>
      </w:r>
    </w:p>
    <w:p>
      <w:pPr>
        <w:pStyle w:val="ListBullet"/>
        <w:ind w:left="360" w:hanging="360"/>
      </w:pPr>
      <w:r>
        <w:rPr>
          <w:rFonts w:ascii="Calibri" w:hAnsi="Calibri"/>
          <w:b/>
          <w:color w:val="525866"/>
          <w:sz w:val="22"/>
        </w:rPr>
        <w:t xml:space="preserve">Dupixent Next-Gen Pipeline: </w:t>
      </w:r>
      <w:r>
        <w:rPr>
          <w:rFonts w:ascii="Calibri" w:hAnsi="Calibri"/>
          <w:color w:val="525866"/>
          <w:sz w:val="22"/>
        </w:rPr>
        <w:t xml:space="preserve">REGN is developing a long-acting IL-13 antibody with a first-in-human trial on track for mid-2026, targeting an expedited regulatory path. </w:t>
      </w:r>
      <w:r>
        <w:rPr>
          <w:rFonts w:ascii="Calibri" w:hAnsi="Calibri"/>
          <w:b/>
          <w:color w:val="525866"/>
          <w:sz w:val="22"/>
        </w:rPr>
        <w:t xml:space="preserve">INCY Read-Through: </w:t>
      </w:r>
      <w:r>
        <w:rPr>
          <w:rFonts w:ascii="Calibri" w:hAnsi="Calibri"/>
          <w:color w:val="525866"/>
          <w:sz w:val="22"/>
        </w:rPr>
        <w:t>Longer-term competitive watch — a next-gen Dupixent pathway molecule could eventually compete with Opzelura in AD, but the timeline is 2028+ and Opzelura's topical route of administration serves a distinct patient population.</w:t>
      </w:r>
    </w:p>
    <w:p>
      <w:pPr>
        <w:pStyle w:val="Heading3"/>
      </w:pPr>
      <w:r>
        <w:rPr>
          <w:rFonts w:ascii="Calibri" w:hAnsi="Calibri"/>
          <w:b/>
          <w:color w:val="3B4259"/>
          <w:sz w:val="24"/>
        </w:rPr>
        <w:t>Eli Lilly (LLY) — Q1 2026 Earnings Call (April 30, 2026)</w:t>
      </w:r>
    </w:p>
    <w:p>
      <w:r>
        <w:rPr>
          <w:rFonts w:ascii="Calibri" w:hAnsi="Calibri"/>
          <w:b/>
          <w:color w:val="525866"/>
          <w:sz w:val="22"/>
        </w:rPr>
        <w:t xml:space="preserve">Relevance to INCY: </w:t>
      </w:r>
      <w:r>
        <w:rPr>
          <w:rFonts w:ascii="Calibri" w:hAnsi="Calibri"/>
          <w:color w:val="525866"/>
          <w:sz w:val="22"/>
        </w:rPr>
        <w:t>Moderate — Lilly's acquisition of Ajax Therapeutics (next-gen JAK2 inhibitor for MF/PV) is a direct competitive read-through for INCY's JAK2 V617F program and Jakafi franchise.</w:t>
      </w:r>
    </w:p>
    <w:p>
      <w:pPr>
        <w:pStyle w:val="ListBullet"/>
        <w:ind w:left="360" w:hanging="360"/>
      </w:pPr>
      <w:r>
        <w:rPr>
          <w:rFonts w:ascii="Calibri" w:hAnsi="Calibri"/>
          <w:b/>
          <w:color w:val="525866"/>
          <w:sz w:val="22"/>
        </w:rPr>
        <w:t xml:space="preserve">Lilly Acquires Ajax Therapeutics (Next-Gen JAK2 Inhibitor for MF/PV): </w:t>
      </w:r>
      <w:r>
        <w:rPr>
          <w:rFonts w:ascii="Calibri" w:hAnsi="Calibri"/>
          <w:color w:val="525866"/>
          <w:sz w:val="22"/>
        </w:rPr>
        <w:t xml:space="preserve">Lilly announced the acquisition of Ajax Therapeutics, whose lead program is a Phase 1 JAK2 inhibitor for myelofibrosis and polycythemia vera, "building on Lilly's established capabilities in blood cancer." </w:t>
      </w:r>
      <w:r>
        <w:rPr>
          <w:rFonts w:ascii="Calibri" w:hAnsi="Calibri"/>
          <w:b/>
          <w:color w:val="525866"/>
          <w:sz w:val="22"/>
        </w:rPr>
        <w:t xml:space="preserve">INCY Read-Through: </w:t>
      </w:r>
      <w:r>
        <w:rPr>
          <w:rFonts w:ascii="Calibri" w:hAnsi="Calibri"/>
          <w:color w:val="525866"/>
          <w:sz w:val="22"/>
        </w:rPr>
        <w:t>Negative for INCY's JAK2 V617F program (INCB160058) — Lilly's entry into the next-gen JAK2 space with a well-capitalized competitor validates the mechanism but increases competitive pressure. INCY's own JAK2 V617F program is facing headwinds (data not trending as hoped), making Lilly's Ajax acquisition a potential threat to INCY's PV/MF franchise long-term. However, INCA033989 (mutant CALR antibody) is differentiated from JAK2 inhibitors and targets a distinct patient population.</w:t>
      </w:r>
    </w:p>
    <w:p>
      <w:pPr>
        <w:pStyle w:val="ListBullet"/>
        <w:ind w:left="360" w:hanging="360"/>
      </w:pPr>
      <w:r>
        <w:rPr>
          <w:rFonts w:ascii="Calibri" w:hAnsi="Calibri"/>
          <w:b/>
          <w:color w:val="525866"/>
          <w:sz w:val="22"/>
        </w:rPr>
        <w:t xml:space="preserve">Ebglyss (IL-13 inhibitor) AD Market Share Gains: </w:t>
      </w:r>
      <w:r>
        <w:rPr>
          <w:rFonts w:ascii="Calibri" w:hAnsi="Calibri"/>
          <w:color w:val="525866"/>
          <w:sz w:val="22"/>
        </w:rPr>
        <w:t xml:space="preserve">Lilly's Ebglyss saw US new patient starts up 90% YoY in Q1 2026, steadily gaining share in specialty dermatology. Positive Phase 3 data in pediatric AD (children as young as 6 months) and 4-year durability data from ADlong extension study. </w:t>
      </w:r>
      <w:r>
        <w:rPr>
          <w:rFonts w:ascii="Calibri" w:hAnsi="Calibri"/>
          <w:b/>
          <w:color w:val="525866"/>
          <w:sz w:val="22"/>
        </w:rPr>
        <w:t xml:space="preserve">INCY Read-Through: </w:t>
      </w:r>
      <w:r>
        <w:rPr>
          <w:rFonts w:ascii="Calibri" w:hAnsi="Calibri"/>
          <w:color w:val="525866"/>
          <w:sz w:val="22"/>
        </w:rPr>
        <w:t>Modest negative for Opzelura — Ebglyss is gaining share in the specialty dermatology market, though it targets a different patient population (moderate-to-severe systemic therapy candidates vs. Opzelura's topical-appropriate patients). The overall market growth partially offsets share competition.</w:t>
      </w:r>
    </w:p>
    <w:p>
      <w:pPr>
        <w:pStyle w:val="ListBullet"/>
        <w:ind w:left="360" w:hanging="360"/>
      </w:pPr>
      <w:r>
        <w:rPr>
          <w:rFonts w:ascii="Calibri" w:hAnsi="Calibri"/>
          <w:b/>
          <w:color w:val="525866"/>
          <w:sz w:val="22"/>
        </w:rPr>
        <w:t xml:space="preserve">Immunology + Oncology Medicines Grew 160% YoY: </w:t>
      </w:r>
      <w:r>
        <w:rPr>
          <w:rFonts w:ascii="Calibri" w:hAnsi="Calibri"/>
          <w:color w:val="525866"/>
          <w:sz w:val="22"/>
        </w:rPr>
        <w:t xml:space="preserve">Lilly's immunology, oncology, and neuroscience medicines collectively grew 160% YoY in Q1 2026, driven by Ebglyss, Jaypirca, and Inluriyo. </w:t>
      </w:r>
      <w:r>
        <w:rPr>
          <w:rFonts w:ascii="Calibri" w:hAnsi="Calibri"/>
          <w:b/>
          <w:color w:val="525866"/>
          <w:sz w:val="22"/>
        </w:rPr>
        <w:t xml:space="preserve">INCY Read-Through: </w:t>
      </w:r>
      <w:r>
        <w:rPr>
          <w:rFonts w:ascii="Calibri" w:hAnsi="Calibri"/>
          <w:color w:val="525866"/>
          <w:sz w:val="22"/>
        </w:rPr>
        <w:t>Positive for the broader specialty pharma market — strong demand across immunology and oncology validates the market environment for INCY's portfolio.</w:t>
      </w:r>
    </w:p>
    <w:p>
      <w:pPr>
        <w:pStyle w:val="Heading3"/>
      </w:pPr>
      <w:r>
        <w:rPr>
          <w:rFonts w:ascii="Calibri" w:hAnsi="Calibri"/>
          <w:b/>
          <w:color w:val="3B4259"/>
          <w:sz w:val="24"/>
        </w:rPr>
        <w:t>Bristol-Myers Squibb (BMY) — Q1 2026 Earnings Call (April 30, 2026)</w:t>
      </w:r>
    </w:p>
    <w:p>
      <w:r>
        <w:rPr>
          <w:rFonts w:ascii="Calibri" w:hAnsi="Calibri"/>
          <w:b/>
          <w:color w:val="525866"/>
          <w:sz w:val="22"/>
        </w:rPr>
        <w:t xml:space="preserve">Relevance to INCY: </w:t>
      </w:r>
      <w:r>
        <w:rPr>
          <w:rFonts w:ascii="Calibri" w:hAnsi="Calibri"/>
          <w:color w:val="525866"/>
          <w:sz w:val="22"/>
        </w:rPr>
        <w:t>Low-to-moderate — BMY's hematology/oncology commentary provides context for the competitive landscape in DLBCL (Monjuvi) and the broader blood cancer market.</w:t>
      </w:r>
    </w:p>
    <w:p>
      <w:pPr>
        <w:pStyle w:val="ListBullet"/>
        <w:ind w:left="360" w:hanging="360"/>
      </w:pPr>
      <w:r>
        <w:rPr>
          <w:rFonts w:ascii="Calibri" w:hAnsi="Calibri"/>
          <w:b/>
          <w:color w:val="525866"/>
          <w:sz w:val="22"/>
        </w:rPr>
        <w:t xml:space="preserve">CELMoD Program (Iberdomide/Mezigdomide) in Multiple Myeloma: </w:t>
      </w:r>
      <w:r>
        <w:rPr>
          <w:rFonts w:ascii="Calibri" w:hAnsi="Calibri"/>
          <w:color w:val="525866"/>
          <w:sz w:val="22"/>
        </w:rPr>
        <w:t xml:space="preserve">BMY reported positive Phase 3 interim data for mezigdomide (SUCCESSOR-2) in relapsed/refractory MM, with a PDUFA date of August 17 for iberdomide. BMY is positioning CELMoDs as foundational treatments in MM, potentially replacing Revlimid and Pomalyst. </w:t>
      </w:r>
      <w:r>
        <w:rPr>
          <w:rFonts w:ascii="Calibri" w:hAnsi="Calibri"/>
          <w:b/>
          <w:color w:val="525866"/>
          <w:sz w:val="22"/>
        </w:rPr>
        <w:t xml:space="preserve">INCY Read-Through: </w:t>
      </w:r>
      <w:r>
        <w:rPr>
          <w:rFonts w:ascii="Calibri" w:hAnsi="Calibri"/>
          <w:color w:val="525866"/>
          <w:sz w:val="22"/>
        </w:rPr>
        <w:t>Indirect positive for the hematology market broadly — strong innovation in blood cancers validates the market environment. No direct competitive overlap with INCY's hematology portfolio (Niktimvo in cGVHD, Monjuvi in DLBCL/FL).</w:t>
      </w:r>
    </w:p>
    <w:p>
      <w:pPr>
        <w:pStyle w:val="ListBullet"/>
        <w:ind w:left="360" w:hanging="360"/>
      </w:pPr>
      <w:r>
        <w:rPr>
          <w:rFonts w:ascii="Calibri" w:hAnsi="Calibri"/>
          <w:b/>
          <w:color w:val="525866"/>
          <w:sz w:val="22"/>
        </w:rPr>
        <w:t xml:space="preserve">Reblozyl +15% Growth in MDS-Associated Anemia: </w:t>
      </w:r>
      <w:r>
        <w:rPr>
          <w:rFonts w:ascii="Calibri" w:hAnsi="Calibri"/>
          <w:color w:val="525866"/>
          <w:sz w:val="22"/>
        </w:rPr>
        <w:t xml:space="preserve">Reblozyl achieved 15% growth in Q1 2026 across first- and second-line MDS-associated anemia. </w:t>
      </w:r>
      <w:r>
        <w:rPr>
          <w:rFonts w:ascii="Calibri" w:hAnsi="Calibri"/>
          <w:b/>
          <w:color w:val="525866"/>
          <w:sz w:val="22"/>
        </w:rPr>
        <w:t xml:space="preserve">INCY Read-Through: </w:t>
      </w:r>
      <w:r>
        <w:rPr>
          <w:rFonts w:ascii="Calibri" w:hAnsi="Calibri"/>
          <w:color w:val="525866"/>
          <w:sz w:val="22"/>
        </w:rPr>
        <w:t>Positive for the broader hematology market — sustained demand for novel hematology therapies supports INCY's Niktimvo and Monjuvi growth trajectories.</w:t>
      </w:r>
    </w:p>
    <w:p>
      <w:pPr>
        <w:pStyle w:val="ListBullet"/>
        <w:ind w:left="360" w:hanging="360"/>
      </w:pPr>
      <w:r>
        <w:rPr>
          <w:rFonts w:ascii="Calibri" w:hAnsi="Calibri"/>
          <w:b/>
          <w:color w:val="525866"/>
          <w:sz w:val="22"/>
        </w:rPr>
        <w:t xml:space="preserve">Sotyktu (TYK2 inhibitor) in Psoriatic Arthritis: </w:t>
      </w:r>
      <w:r>
        <w:rPr>
          <w:rFonts w:ascii="Calibri" w:hAnsi="Calibri"/>
          <w:color w:val="525866"/>
          <w:sz w:val="22"/>
        </w:rPr>
        <w:t xml:space="preserve">Sotyktu global revenue grew 20% in Q1 2026 following psoriatic arthritis approval. BMY awaits Phase 3 readouts in Lupus and Sjogren's disease. </w:t>
      </w:r>
      <w:r>
        <w:rPr>
          <w:rFonts w:ascii="Calibri" w:hAnsi="Calibri"/>
          <w:b/>
          <w:color w:val="525866"/>
          <w:sz w:val="22"/>
        </w:rPr>
        <w:t xml:space="preserve">INCY Read-Through: </w:t>
      </w:r>
      <w:r>
        <w:rPr>
          <w:rFonts w:ascii="Calibri" w:hAnsi="Calibri"/>
          <w:color w:val="525866"/>
          <w:sz w:val="22"/>
        </w:rPr>
        <w:t>Modest negative for Opzelura's psoriasis positioning — Sotyktu is an oral TYK2 inhibitor competing in the psoriasis space, though Opzelura targets a different patient population (topical, mild-to-moderate). The broader oral immunology market is becoming more competitive.</w:t>
      </w:r>
    </w:p>
    <w:p>
      <w:pPr>
        <w:pStyle w:val="Heading3"/>
      </w:pPr>
      <w:r>
        <w:rPr>
          <w:rFonts w:ascii="Calibri" w:hAnsi="Calibri"/>
          <w:b/>
          <w:color w:val="3B4259"/>
          <w:sz w:val="24"/>
        </w:rPr>
        <w:t>argenx (ARGX) — Q2 2026 Earnings Call (July 23, 2026)</w:t>
      </w:r>
    </w:p>
    <w:p>
      <w:r>
        <w:rPr>
          <w:rFonts w:ascii="Calibri" w:hAnsi="Calibri"/>
          <w:b/>
          <w:color w:val="525866"/>
          <w:sz w:val="22"/>
        </w:rPr>
        <w:t xml:space="preserve">Relevance to INCY: </w:t>
      </w:r>
      <w:r>
        <w:rPr>
          <w:rFonts w:ascii="Calibri" w:hAnsi="Calibri"/>
          <w:color w:val="525866"/>
          <w:sz w:val="22"/>
        </w:rPr>
        <w:t>Low-to-moderate — argenx's Q2 2026 results (most recent peer print) provide a read-through on the specialty biotech market environment and payer dynamics heading into INCY's print.</w:t>
      </w:r>
    </w:p>
    <w:p>
      <w:pPr>
        <w:pStyle w:val="ListBullet"/>
        <w:ind w:left="360" w:hanging="360"/>
      </w:pPr>
      <w:r>
        <w:rPr>
          <w:rFonts w:ascii="Calibri" w:hAnsi="Calibri"/>
          <w:b/>
          <w:color w:val="525866"/>
          <w:sz w:val="22"/>
        </w:rPr>
        <w:t xml:space="preserve">18th Consecutive Quarter of Growth; Strong Demand Dynamics: </w:t>
      </w:r>
      <w:r>
        <w:rPr>
          <w:rFonts w:ascii="Calibri" w:hAnsi="Calibri"/>
          <w:color w:val="525866"/>
          <w:sz w:val="22"/>
        </w:rPr>
        <w:t xml:space="preserve">argenx reported "one of our strongest quarters yet" with 18 consecutive quarters of growth. Vyvgart US market grew 15% QoQ with gross-to-net and net pricing stable vs. prior quarters. New patient demand remained at a "consistently high level" with ~80% of PFS patients being new to Vyvgart in Q2. </w:t>
      </w:r>
      <w:r>
        <w:rPr>
          <w:rFonts w:ascii="Calibri" w:hAnsi="Calibri"/>
          <w:b/>
          <w:color w:val="525866"/>
          <w:sz w:val="22"/>
        </w:rPr>
        <w:t xml:space="preserve">INCY Read-Through: </w:t>
      </w:r>
      <w:r>
        <w:rPr>
          <w:rFonts w:ascii="Calibri" w:hAnsi="Calibri"/>
          <w:color w:val="525866"/>
          <w:sz w:val="22"/>
        </w:rPr>
        <w:t>Positive for the specialty biotech market environment — strong demand and stable pricing dynamics at argenx suggest the payer environment for specialty biologics remains constructive, which is favorable for INCY's Niktimvo (cGVHD) and Monjuvi (DLBCL/FL) launches.</w:t>
      </w:r>
    </w:p>
    <w:p>
      <w:pPr>
        <w:pStyle w:val="ListBullet"/>
        <w:ind w:left="360" w:hanging="360"/>
      </w:pPr>
      <w:r>
        <w:rPr>
          <w:rFonts w:ascii="Calibri" w:hAnsi="Calibri"/>
          <w:b/>
          <w:color w:val="525866"/>
          <w:sz w:val="22"/>
        </w:rPr>
        <w:t xml:space="preserve">Formulary Coverage Secured Rapidly for New Indication: </w:t>
      </w:r>
      <w:r>
        <w:rPr>
          <w:rFonts w:ascii="Calibri" w:hAnsi="Calibri"/>
          <w:color w:val="525866"/>
          <w:sz w:val="22"/>
        </w:rPr>
        <w:t xml:space="preserve">For Seronegative MG (new label expansion), argenx secured policies covering ~55% of US commercial lives within 10 weeks of launch, with plans to reach ~90% within 3–6 months. </w:t>
      </w:r>
      <w:r>
        <w:rPr>
          <w:rFonts w:ascii="Calibri" w:hAnsi="Calibri"/>
          <w:b/>
          <w:color w:val="525866"/>
          <w:sz w:val="22"/>
        </w:rPr>
        <w:t xml:space="preserve">INCY Read-Through: </w:t>
      </w:r>
      <w:r>
        <w:rPr>
          <w:rFonts w:ascii="Calibri" w:hAnsi="Calibri"/>
          <w:color w:val="525866"/>
          <w:sz w:val="22"/>
        </w:rPr>
        <w:t>Positive for Jakafi XR formulary coverage trajectory — argenx's rapid coverage build for a new indication suggests the payer environment is receptive to well-differentiated products. INCY's Jakafi XR has already secured Optum and CVS coverage within ~30 days.</w:t>
      </w:r>
    </w:p>
    <w:p>
      <w:pPr>
        <w:pStyle w:val="ListBullet"/>
        <w:ind w:left="360" w:hanging="360"/>
      </w:pPr>
      <w:r>
        <w:rPr>
          <w:rFonts w:ascii="Calibri" w:hAnsi="Calibri"/>
          <w:b/>
          <w:color w:val="525866"/>
          <w:sz w:val="22"/>
        </w:rPr>
        <w:t xml:space="preserve">Two Registrational Readouts Expected Before Year-End: </w:t>
      </w:r>
      <w:r>
        <w:rPr>
          <w:rFonts w:ascii="Calibri" w:hAnsi="Calibri"/>
          <w:color w:val="525866"/>
          <w:sz w:val="22"/>
        </w:rPr>
        <w:t xml:space="preserve">argenx expects readouts for autoimmune myositis (Im and DM) this quarter and empasiprubart in MMN later in 2026. </w:t>
      </w:r>
      <w:r>
        <w:rPr>
          <w:rFonts w:ascii="Calibri" w:hAnsi="Calibri"/>
          <w:b/>
          <w:color w:val="525866"/>
          <w:sz w:val="22"/>
        </w:rPr>
        <w:t xml:space="preserve">INCY Read-Through: </w:t>
      </w:r>
      <w:r>
        <w:rPr>
          <w:rFonts w:ascii="Calibri" w:hAnsi="Calibri"/>
          <w:color w:val="525866"/>
          <w:sz w:val="22"/>
        </w:rPr>
        <w:t>Neutral — no direct competitive overlap with INCY's pipeline, but the active catalyst calendar in specialty biotech supports sector sentiment.</w:t>
      </w:r>
    </w:p>
    <w:p>
      <w:r>
        <w:rPr>
          <w:rFonts w:ascii="Calibri" w:hAnsi="Calibri"/>
          <w:b/>
          <w:color w:val="525866"/>
          <w:sz w:val="22"/>
        </w:rPr>
        <w:t xml:space="preserve">Overall Peer Read-Through Summary: </w:t>
      </w:r>
      <w:r>
        <w:rPr>
          <w:rFonts w:ascii="Calibri" w:hAnsi="Calibri"/>
          <w:color w:val="525866"/>
          <w:sz w:val="22"/>
        </w:rPr>
        <w:t>The peer commentary from the last 60 days is net positive for INCY's Q2 setup. The dermatology/immunology market is growing robustly (ABBV, REGN), the HS market is being actively built (ABBV validates the opportunity), and specialty biotech demand dynamics are strong (ARGX). The primary negative read-through is Lilly's Ajax acquisition (next-gen JAK2 for MF/PV), which increases long-term competitive pressure on INCY's JAK2 V617F program — though INCA033989 (mutant CALR) is differentiated and not directly impacted.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insiders since Q1 earnings — all transactions are compensation-related awards (code A), tax withholding dispositions (code F), or option exercises (code M); the absence of discretionary selling ahead of a +22% stock move and tomorrow's earnings is a mild positive signal, though the pattern is consistent with pre-earnings blackout periods.</w:t>
      </w:r>
    </w:p>
    <w:p>
      <w:r>
        <w:rPr>
          <w:rFonts w:ascii="Calibri" w:hAnsi="Calibri"/>
          <w:b/>
          <w:color w:val="525866"/>
          <w:sz w:val="22"/>
        </w:rPr>
        <w:t xml:space="preserve">Note: </w:t>
      </w:r>
      <w:r>
        <w:rPr>
          <w:rFonts w:ascii="Calibri" w:hAnsi="Calibri"/>
          <w:i/>
          <w:color w:val="525866"/>
          <w:sz w:val="22"/>
        </w:rPr>
        <w:t>The insider transaction dataset returned no open-market buys (code P) or discretionary open-market sells (code S) for INCY in the period since Q1 earnings (April 28 – July 28, 2026). All transactions are equity award grants (code A), tax withholding dispositions (code F), or option exercises (code M). One exception: Issa Mohamed Khairie (EVP, Head of U.S. Commercial) sold 1,093 shares on July 16 (code S, flagged as 10b5-1 plan), and Stein Steven H (CMO) sold 28,237 shares on July 15 (code S, flagged as 10b5-1 plan). These are pre-planned 10b5-1 sales and are not discretionary signals.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Name</w:t>
            </w:r>
          </w:p>
        </w:tc>
        <w:tc>
          <w:tcPr>
            <w:tcW w:type="dxa" w:w="1440"/>
          </w:tcPr>
          <w:p>
            <w:r>
              <w:rPr>
                <w:rFonts w:ascii="Calibri" w:hAnsi="Calibri"/>
                <w:b/>
                <w:sz w:val="22"/>
              </w:rPr>
              <w:t>Title</w:t>
            </w:r>
          </w:p>
        </w:tc>
        <w:tc>
          <w:tcPr>
            <w:tcW w:type="dxa" w:w="1440"/>
          </w:tcPr>
          <w:p>
            <w:r>
              <w:rPr>
                <w:rFonts w:ascii="Calibri" w:hAnsi="Calibri"/>
                <w:b/>
                <w:sz w:val="22"/>
              </w:rPr>
              <w:t>Transaction Type</w:t>
            </w:r>
          </w:p>
        </w:tc>
        <w:tc>
          <w:tcPr>
            <w:tcW w:type="dxa" w:w="1440"/>
          </w:tcPr>
          <w:p>
            <w:r>
              <w:rPr>
                <w:rFonts w:ascii="Calibri" w:hAnsi="Calibri"/>
                <w:b/>
                <w:sz w:val="22"/>
              </w:rPr>
              <w:t>Shares</w:t>
            </w:r>
          </w:p>
        </w:tc>
        <w:tc>
          <w:tcPr>
            <w:tcW w:type="dxa" w:w="1440"/>
          </w:tcPr>
          <w:p>
            <w:r>
              <w:rPr>
                <w:rFonts w:ascii="Calibri" w:hAnsi="Calibri"/>
                <w:b/>
                <w:sz w:val="22"/>
              </w:rPr>
              <w:t>Date</w:t>
            </w:r>
          </w:p>
        </w:tc>
        <w:tc>
          <w:tcPr>
            <w:tcW w:type="dxa" w:w="1440"/>
          </w:tcPr>
          <w:p>
            <w:r>
              <w:rPr>
                <w:rFonts w:ascii="Calibri" w:hAnsi="Calibri"/>
                <w:b/>
                <w:sz w:val="22"/>
              </w:rPr>
              <w:t>Note</w:t>
            </w:r>
          </w:p>
        </w:tc>
      </w:tr>
      <w:tr>
        <w:tc>
          <w:tcPr>
            <w:tcW w:type="dxa" w:w="1440"/>
          </w:tcPr>
          <w:p>
            <w:r>
              <w:rPr>
                <w:rFonts w:ascii="Calibri" w:hAnsi="Calibri"/>
                <w:sz w:val="22"/>
              </w:rPr>
              <w:t>Issa Mohamed Khairie</w:t>
            </w:r>
          </w:p>
        </w:tc>
        <w:tc>
          <w:tcPr>
            <w:tcW w:type="dxa" w:w="1440"/>
          </w:tcPr>
          <w:p>
            <w:r>
              <w:rPr>
                <w:rFonts w:ascii="Calibri" w:hAnsi="Calibri"/>
                <w:sz w:val="22"/>
              </w:rPr>
              <w:t>EVP, Head of U.S. Commercial</w:t>
            </w:r>
          </w:p>
        </w:tc>
        <w:tc>
          <w:tcPr>
            <w:tcW w:type="dxa" w:w="1440"/>
          </w:tcPr>
          <w:p>
            <w:r>
              <w:rPr>
                <w:rFonts w:ascii="Calibri" w:hAnsi="Calibri"/>
                <w:sz w:val="22"/>
              </w:rPr>
              <w:t>10b5-1 Planned Sale</w:t>
            </w:r>
          </w:p>
        </w:tc>
        <w:tc>
          <w:tcPr>
            <w:tcW w:type="dxa" w:w="1440"/>
          </w:tcPr>
          <w:p>
            <w:r>
              <w:rPr>
                <w:rFonts w:ascii="Calibri" w:hAnsi="Calibri"/>
                <w:sz w:val="22"/>
              </w:rPr>
              <w:t>1,093 shares</w:t>
            </w:r>
          </w:p>
        </w:tc>
        <w:tc>
          <w:tcPr>
            <w:tcW w:type="dxa" w:w="1440"/>
          </w:tcPr>
          <w:p>
            <w:r>
              <w:rPr>
                <w:rFonts w:ascii="Calibri" w:hAnsi="Calibri"/>
                <w:sz w:val="22"/>
              </w:rPr>
              <w:t>Jul 16, 2026</w:t>
            </w:r>
          </w:p>
        </w:tc>
        <w:tc>
          <w:tcPr>
            <w:tcW w:type="dxa" w:w="1440"/>
          </w:tcPr>
          <w:p>
            <w:r>
              <w:rPr>
                <w:rFonts w:ascii="Calibri" w:hAnsi="Calibri"/>
                <w:sz w:val="22"/>
              </w:rPr>
              <w:t>Pre-planned 10b5-1 sale; not discretionary. Same day received 7,857 shares (award grant) and 33,918 options.</w:t>
            </w:r>
          </w:p>
        </w:tc>
      </w:tr>
      <w:tr>
        <w:tc>
          <w:tcPr>
            <w:tcW w:type="dxa" w:w="1440"/>
          </w:tcPr>
          <w:p>
            <w:r>
              <w:rPr>
                <w:rFonts w:ascii="Calibri" w:hAnsi="Calibri"/>
                <w:sz w:val="22"/>
              </w:rPr>
              <w:t>Stein Steven H</w:t>
            </w:r>
          </w:p>
        </w:tc>
        <w:tc>
          <w:tcPr>
            <w:tcW w:type="dxa" w:w="1440"/>
          </w:tcPr>
          <w:p>
            <w:r>
              <w:rPr>
                <w:rFonts w:ascii="Calibri" w:hAnsi="Calibri"/>
                <w:sz w:val="22"/>
              </w:rPr>
              <w:t>CMO &amp; Head of Late-Stage Dev.</w:t>
            </w:r>
          </w:p>
        </w:tc>
        <w:tc>
          <w:tcPr>
            <w:tcW w:type="dxa" w:w="1440"/>
          </w:tcPr>
          <w:p>
            <w:r>
              <w:rPr>
                <w:rFonts w:ascii="Calibri" w:hAnsi="Calibri"/>
                <w:sz w:val="22"/>
              </w:rPr>
              <w:t>10b5-1 Planned Sale</w:t>
            </w:r>
          </w:p>
        </w:tc>
        <w:tc>
          <w:tcPr>
            <w:tcW w:type="dxa" w:w="1440"/>
          </w:tcPr>
          <w:p>
            <w:r>
              <w:rPr>
                <w:rFonts w:ascii="Calibri" w:hAnsi="Calibri"/>
                <w:sz w:val="22"/>
              </w:rPr>
              <w:t>28,237 shares</w:t>
            </w:r>
          </w:p>
        </w:tc>
        <w:tc>
          <w:tcPr>
            <w:tcW w:type="dxa" w:w="1440"/>
          </w:tcPr>
          <w:p>
            <w:r>
              <w:rPr>
                <w:rFonts w:ascii="Calibri" w:hAnsi="Calibri"/>
                <w:sz w:val="22"/>
              </w:rPr>
              <w:t>Jul 15, 2026</w:t>
            </w:r>
          </w:p>
        </w:tc>
        <w:tc>
          <w:tcPr>
            <w:tcW w:type="dxa" w:w="1440"/>
          </w:tcPr>
          <w:p>
            <w:r>
              <w:rPr>
                <w:rFonts w:ascii="Calibri" w:hAnsi="Calibri"/>
                <w:sz w:val="22"/>
              </w:rPr>
              <w:t>Pre-planned 10b5-1 sale; not discretionary. Also received 9,798 shares (award grant) and 42,298 options on Jul 16.</w:t>
            </w:r>
          </w:p>
        </w:tc>
      </w:tr>
      <w:tr>
        <w:tc>
          <w:tcPr>
            <w:tcW w:type="dxa" w:w="1440"/>
          </w:tcPr>
          <w:p>
            <w:r>
              <w:rPr>
                <w:rFonts w:ascii="Calibri" w:hAnsi="Calibri"/>
                <w:sz w:val="22"/>
              </w:rPr>
              <w:t>Meury William</w:t>
            </w:r>
          </w:p>
        </w:tc>
        <w:tc>
          <w:tcPr>
            <w:tcW w:type="dxa" w:w="1440"/>
          </w:tcPr>
          <w:p>
            <w:r>
              <w:rPr>
                <w:rFonts w:ascii="Calibri" w:hAnsi="Calibri"/>
                <w:sz w:val="22"/>
              </w:rPr>
              <w:t>CEO, Director</w:t>
            </w:r>
          </w:p>
        </w:tc>
        <w:tc>
          <w:tcPr>
            <w:tcW w:type="dxa" w:w="1440"/>
          </w:tcPr>
          <w:p>
            <w:r>
              <w:rPr>
                <w:rFonts w:ascii="Calibri" w:hAnsi="Calibri"/>
                <w:sz w:val="22"/>
              </w:rPr>
              <w:t>Equity Award Grant</w:t>
            </w:r>
          </w:p>
        </w:tc>
        <w:tc>
          <w:tcPr>
            <w:tcW w:type="dxa" w:w="1440"/>
          </w:tcPr>
          <w:p>
            <w:r>
              <w:rPr>
                <w:rFonts w:ascii="Calibri" w:hAnsi="Calibri"/>
                <w:sz w:val="22"/>
              </w:rPr>
              <w:t>26,807 shares + 77,148 options + 80,421 perf. shares</w:t>
            </w:r>
          </w:p>
        </w:tc>
        <w:tc>
          <w:tcPr>
            <w:tcW w:type="dxa" w:w="1440"/>
          </w:tcPr>
          <w:p>
            <w:r>
              <w:rPr>
                <w:rFonts w:ascii="Calibri" w:hAnsi="Calibri"/>
                <w:sz w:val="22"/>
              </w:rPr>
              <w:t>Jul 16, 2026</w:t>
            </w:r>
          </w:p>
        </w:tc>
        <w:tc>
          <w:tcPr>
            <w:tcW w:type="dxa" w:w="1440"/>
          </w:tcPr>
          <w:p>
            <w:r>
              <w:rPr>
                <w:rFonts w:ascii="Calibri" w:hAnsi="Calibri"/>
                <w:sz w:val="22"/>
              </w:rPr>
              <w:t>Annual equity compensation grant; no open-market purchase or sale.</w:t>
            </w:r>
          </w:p>
        </w:tc>
      </w:tr>
      <w:tr>
        <w:tc>
          <w:tcPr>
            <w:tcW w:type="dxa" w:w="1440"/>
          </w:tcPr>
          <w:p>
            <w:r>
              <w:rPr>
                <w:rFonts w:ascii="Calibri" w:hAnsi="Calibri"/>
                <w:sz w:val="22"/>
              </w:rPr>
              <w:t>CAGNONI PABLO J</w:t>
            </w:r>
          </w:p>
        </w:tc>
        <w:tc>
          <w:tcPr>
            <w:tcW w:type="dxa" w:w="1440"/>
          </w:tcPr>
          <w:p>
            <w:r>
              <w:rPr>
                <w:rFonts w:ascii="Calibri" w:hAnsi="Calibri"/>
                <w:sz w:val="22"/>
              </w:rPr>
              <w:t>President, Global Head of R&amp;D</w:t>
            </w:r>
          </w:p>
        </w:tc>
        <w:tc>
          <w:tcPr>
            <w:tcW w:type="dxa" w:w="1440"/>
          </w:tcPr>
          <w:p>
            <w:r>
              <w:rPr>
                <w:rFonts w:ascii="Calibri" w:hAnsi="Calibri"/>
                <w:sz w:val="22"/>
              </w:rPr>
              <w:t>Equity Award Grant + Tax Withholding</w:t>
            </w:r>
          </w:p>
        </w:tc>
        <w:tc>
          <w:tcPr>
            <w:tcW w:type="dxa" w:w="1440"/>
          </w:tcPr>
          <w:p>
            <w:r>
              <w:rPr>
                <w:rFonts w:ascii="Calibri" w:hAnsi="Calibri"/>
                <w:sz w:val="22"/>
              </w:rPr>
              <w:t>13,403 shares granted; 17,969 + 4,950 shares withheld (tax)</w:t>
            </w:r>
          </w:p>
        </w:tc>
        <w:tc>
          <w:tcPr>
            <w:tcW w:type="dxa" w:w="1440"/>
          </w:tcPr>
          <w:p>
            <w:r>
              <w:rPr>
                <w:rFonts w:ascii="Calibri" w:hAnsi="Calibri"/>
                <w:sz w:val="22"/>
              </w:rPr>
              <w:t>Jul 14–16, 2026</w:t>
            </w:r>
          </w:p>
        </w:tc>
        <w:tc>
          <w:tcPr>
            <w:tcW w:type="dxa" w:w="1440"/>
          </w:tcPr>
          <w:p>
            <w:r>
              <w:rPr>
                <w:rFonts w:ascii="Calibri" w:hAnsi="Calibri"/>
                <w:sz w:val="22"/>
              </w:rPr>
              <w:t>Tax withholding dispositions (code F) are obligation-driven, not discretionary sells.</w:t>
            </w:r>
          </w:p>
        </w:tc>
      </w:tr>
      <w:tr>
        <w:tc>
          <w:tcPr>
            <w:tcW w:type="dxa" w:w="1440"/>
          </w:tcPr>
          <w:p>
            <w:r>
              <w:rPr>
                <w:rFonts w:ascii="Calibri" w:hAnsi="Calibri"/>
                <w:sz w:val="22"/>
              </w:rPr>
              <w:t>BAKER JULIAN</w:t>
            </w:r>
          </w:p>
        </w:tc>
        <w:tc>
          <w:tcPr>
            <w:tcW w:type="dxa" w:w="1440"/>
          </w:tcPr>
          <w:p>
            <w:r>
              <w:rPr>
                <w:rFonts w:ascii="Calibri" w:hAnsi="Calibri"/>
                <w:sz w:val="22"/>
              </w:rPr>
              <w:t>10% Owner, Director</w:t>
            </w:r>
          </w:p>
        </w:tc>
        <w:tc>
          <w:tcPr>
            <w:tcW w:type="dxa" w:w="1440"/>
          </w:tcPr>
          <w:p>
            <w:r>
              <w:rPr>
                <w:rFonts w:ascii="Calibri" w:hAnsi="Calibri"/>
                <w:sz w:val="22"/>
              </w:rPr>
              <w:t>Option Exercise (M) + Director Grant</w:t>
            </w:r>
          </w:p>
        </w:tc>
        <w:tc>
          <w:tcPr>
            <w:tcW w:type="dxa" w:w="1440"/>
          </w:tcPr>
          <w:p>
            <w:r>
              <w:rPr>
                <w:rFonts w:ascii="Calibri" w:hAnsi="Calibri"/>
                <w:sz w:val="22"/>
              </w:rPr>
              <w:t>30,000 shares (May 8); 800 shares (Jun 30); 3,284 shares (Jun 8)</w:t>
            </w:r>
          </w:p>
        </w:tc>
        <w:tc>
          <w:tcPr>
            <w:tcW w:type="dxa" w:w="1440"/>
          </w:tcPr>
          <w:p>
            <w:r>
              <w:rPr>
                <w:rFonts w:ascii="Calibri" w:hAnsi="Calibri"/>
                <w:sz w:val="22"/>
              </w:rPr>
              <w:t>May–Jun 2026</w:t>
            </w:r>
          </w:p>
        </w:tc>
        <w:tc>
          <w:tcPr>
            <w:tcW w:type="dxa" w:w="1440"/>
          </w:tcPr>
          <w:p>
            <w:r>
              <w:rPr>
                <w:rFonts w:ascii="Calibri" w:hAnsi="Calibri"/>
                <w:sz w:val="22"/>
              </w:rPr>
              <w:t>Option exercises and director compensation grants; Baker holds ~28.2M shares (10%+ owner). No open-market sales.</w:t>
            </w:r>
          </w:p>
        </w:tc>
      </w:tr>
      <w:tr>
        <w:tc>
          <w:tcPr>
            <w:tcW w:type="dxa" w:w="1440"/>
          </w:tcPr>
          <w:p>
            <w:r>
              <w:rPr>
                <w:rFonts w:ascii="Calibri" w:hAnsi="Calibri"/>
                <w:sz w:val="22"/>
              </w:rPr>
              <w:t>Upadhyay Suketu</w:t>
            </w:r>
          </w:p>
        </w:tc>
        <w:tc>
          <w:tcPr>
            <w:tcW w:type="dxa" w:w="1440"/>
          </w:tcPr>
          <w:p>
            <w:r>
              <w:rPr>
                <w:rFonts w:ascii="Calibri" w:hAnsi="Calibri"/>
                <w:sz w:val="22"/>
              </w:rPr>
              <w:t>EVP &amp; CFO</w:t>
            </w:r>
          </w:p>
        </w:tc>
        <w:tc>
          <w:tcPr>
            <w:tcW w:type="dxa" w:w="1440"/>
          </w:tcPr>
          <w:p>
            <w:r>
              <w:rPr>
                <w:rFonts w:ascii="Calibri" w:hAnsi="Calibri"/>
                <w:sz w:val="22"/>
              </w:rPr>
              <w:t>Equity Award Grant</w:t>
            </w:r>
          </w:p>
        </w:tc>
        <w:tc>
          <w:tcPr>
            <w:tcW w:type="dxa" w:w="1440"/>
          </w:tcPr>
          <w:p>
            <w:r>
              <w:rPr>
                <w:rFonts w:ascii="Calibri" w:hAnsi="Calibri"/>
                <w:sz w:val="22"/>
              </w:rPr>
              <w:t>26,343 shares + 38,429 options + 13,171 perf. shares</w:t>
            </w:r>
          </w:p>
        </w:tc>
        <w:tc>
          <w:tcPr>
            <w:tcW w:type="dxa" w:w="1440"/>
          </w:tcPr>
          <w:p>
            <w:r>
              <w:rPr>
                <w:rFonts w:ascii="Calibri" w:hAnsi="Calibri"/>
                <w:sz w:val="22"/>
              </w:rPr>
              <w:t>May 4, 2026</w:t>
            </w:r>
          </w:p>
        </w:tc>
        <w:tc>
          <w:tcPr>
            <w:tcW w:type="dxa" w:w="1440"/>
          </w:tcPr>
          <w:p>
            <w:r>
              <w:rPr>
                <w:rFonts w:ascii="Calibri" w:hAnsi="Calibri"/>
                <w:sz w:val="22"/>
              </w:rPr>
              <w:t>Initial equity grant for new CFO (appointed Q1 2026); no open-market purchase or sale.</w:t>
            </w:r>
          </w:p>
        </w:tc>
      </w:tr>
      <w:tr>
        <w:tc>
          <w:tcPr>
            <w:tcW w:type="dxa" w:w="1440"/>
          </w:tcPr>
          <w:p>
            <w:r>
              <w:rPr>
                <w:rFonts w:ascii="Calibri" w:hAnsi="Calibri"/>
                <w:sz w:val="22"/>
              </w:rPr>
              <w:t>Tray Thomas</w:t>
            </w:r>
          </w:p>
        </w:tc>
        <w:tc>
          <w:tcPr>
            <w:tcW w:type="dxa" w:w="1440"/>
          </w:tcPr>
          <w:p>
            <w:r>
              <w:rPr>
                <w:rFonts w:ascii="Calibri" w:hAnsi="Calibri"/>
                <w:sz w:val="22"/>
              </w:rPr>
              <w:t>Principal Accounting Officer</w:t>
            </w:r>
          </w:p>
        </w:tc>
        <w:tc>
          <w:tcPr>
            <w:tcW w:type="dxa" w:w="1440"/>
          </w:tcPr>
          <w:p>
            <w:r>
              <w:rPr>
                <w:rFonts w:ascii="Calibri" w:hAnsi="Calibri"/>
                <w:sz w:val="22"/>
              </w:rPr>
              <w:t>10b5-1 Planned Sale</w:t>
            </w:r>
          </w:p>
        </w:tc>
        <w:tc>
          <w:tcPr>
            <w:tcW w:type="dxa" w:w="1440"/>
          </w:tcPr>
          <w:p>
            <w:r>
              <w:rPr>
                <w:rFonts w:ascii="Calibri" w:hAnsi="Calibri"/>
                <w:sz w:val="22"/>
              </w:rPr>
              <w:t>2,051 shares</w:t>
            </w:r>
          </w:p>
        </w:tc>
        <w:tc>
          <w:tcPr>
            <w:tcW w:type="dxa" w:w="1440"/>
          </w:tcPr>
          <w:p>
            <w:r>
              <w:rPr>
                <w:rFonts w:ascii="Calibri" w:hAnsi="Calibri"/>
                <w:sz w:val="22"/>
              </w:rPr>
              <w:t>May 26, 2026</w:t>
            </w:r>
          </w:p>
        </w:tc>
        <w:tc>
          <w:tcPr>
            <w:tcW w:type="dxa" w:w="1440"/>
          </w:tcPr>
          <w:p>
            <w:r>
              <w:rPr>
                <w:rFonts w:ascii="Calibri" w:hAnsi="Calibri"/>
                <w:sz w:val="22"/>
              </w:rPr>
              <w:t>Pre-planned 10b5-1 sale; not discretionary.</w:t>
            </w:r>
          </w:p>
        </w:tc>
      </w:tr>
    </w:tbl>
    <w:p>
      <w:r>
        <w:rPr>
          <w:rFonts w:ascii="Calibri" w:hAnsi="Calibri"/>
          <w:i/>
          <w:color w:val="525866"/>
          <w:sz w:val="22"/>
        </w:rPr>
        <w:t>Source: Insider Transaction Data (SEC Form 4 filings). Transaction codes: A = Award/Grant, F = Tax Withholding Disposition, M = Option Exercise, S = Open-Market Sale. Only transactions with code S are open-market sales; all S transactions in this period are flagged as 10b5-1 pre-planned sales. No open-market buys (code P) were filed in the period. Julian Baker's 10%+ ownership position (~28.2M shares) remains unchanged on a net basis.</w:t>
      </w:r>
    </w:p>
    <w:p>
      <w:r>
        <w:rPr>
          <w:rFonts w:ascii="Calibri" w:hAnsi="Calibri"/>
          <w:b/>
          <w:color w:val="525866"/>
          <w:sz w:val="22"/>
        </w:rPr>
        <w:t xml:space="preserve">Analyst Ratings: </w:t>
      </w:r>
      <w:r>
        <w:rPr>
          <w:rFonts w:ascii="Calibri" w:hAnsi="Calibri"/>
          <w:color w:val="525866"/>
          <w:sz w:val="22"/>
        </w:rPr>
        <w:t>No analyst upgrades or downgrades were found in the dataset for INCY in the period since Q1 earnings. Consensus target price per internet sources is approximately $109.95 (average rating: Hold), implying the stock at $118.87 is trading above the average analyst target — a potential headwind if the print does not deliver a guidance raise sufficient to justify the premium.</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