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Incyte Corporation (INCY)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Incyte Corporation</w:t>
            </w:r>
          </w:p>
        </w:tc>
      </w:tr>
      <w:tr>
        <w:tc>
          <w:tcPr>
            <w:tcW w:type="dxa" w:w="4320"/>
          </w:tcPr>
          <w:p>
            <w:r>
              <w:rPr>
                <w:rFonts w:ascii="Calibri" w:hAnsi="Calibri"/>
                <w:b/>
                <w:sz w:val="22"/>
              </w:rPr>
              <w:t>Ticker</w:t>
            </w:r>
          </w:p>
        </w:tc>
        <w:tc>
          <w:tcPr>
            <w:tcW w:type="dxa" w:w="4320"/>
          </w:tcPr>
          <w:p>
            <w:r>
              <w:rPr>
                <w:rFonts w:ascii="Calibri" w:hAnsi="Calibri"/>
                <w:sz w:val="22"/>
              </w:rPr>
              <w:t>INCY (Nasdaq)</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Earnings Date</w:t>
            </w:r>
          </w:p>
        </w:tc>
        <w:tc>
          <w:tcPr>
            <w:tcW w:type="dxa" w:w="4320"/>
          </w:tcPr>
          <w:p>
            <w:r>
              <w:rPr>
                <w:rFonts w:ascii="Calibri" w:hAnsi="Calibri"/>
                <w:sz w:val="22"/>
              </w:rPr>
              <w:t>July 28, 2026 — 8:00 AM ET</w:t>
            </w:r>
          </w:p>
        </w:tc>
      </w:tr>
      <w:tr>
        <w:tc>
          <w:tcPr>
            <w:tcW w:type="dxa" w:w="4320"/>
          </w:tcPr>
          <w:p>
            <w:r>
              <w:rPr>
                <w:rFonts w:ascii="Calibri" w:hAnsi="Calibri"/>
                <w:b/>
                <w:sz w:val="22"/>
              </w:rPr>
              <w:t>Prepared</w:t>
            </w:r>
          </w:p>
        </w:tc>
        <w:tc>
          <w:tcPr>
            <w:tcW w:type="dxa" w:w="4320"/>
          </w:tcPr>
          <w:p>
            <w:r>
              <w:rPr>
                <w:rFonts w:ascii="Calibri" w:hAnsi="Calibri"/>
                <w:sz w:val="22"/>
              </w:rPr>
              <w:t>July 27, 2026</w:t>
            </w:r>
          </w:p>
        </w:tc>
      </w:tr>
      <w:tr>
        <w:tc>
          <w:tcPr>
            <w:tcW w:type="dxa" w:w="4320"/>
          </w:tcPr>
          <w:p>
            <w:r>
              <w:rPr>
                <w:rFonts w:ascii="Calibri" w:hAnsi="Calibri"/>
                <w:b/>
                <w:sz w:val="22"/>
              </w:rPr>
              <w:t>Last Earnings</w:t>
            </w:r>
          </w:p>
        </w:tc>
        <w:tc>
          <w:tcPr>
            <w:tcW w:type="dxa" w:w="4320"/>
          </w:tcPr>
          <w:p>
            <w:r>
              <w:rPr>
                <w:rFonts w:ascii="Calibri" w:hAnsi="Calibri"/>
                <w:sz w:val="22"/>
              </w:rPr>
              <w:t>April 28, 2026 (Q1 2026)</w:t>
            </w:r>
          </w:p>
        </w:tc>
      </w:tr>
    </w:tbl>
    <w:p>
      <w:r>
        <w:br w:type="page"/>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 xml:space="preserve">The setup into Q2 2026 is constructive — consensus has moved meaningfully higher since the Q1 print, the bar is achievable given broad commercial momentum, and the biggest swing factor is whether the </w:t>
      </w:r>
      <w:r>
        <w:rPr>
          <w:rFonts w:ascii="Calibri" w:hAnsi="Calibri"/>
          <w:b/>
          <w:color w:val="525866"/>
          <w:sz w:val="22"/>
        </w:rPr>
        <w:t>$246M non-cash Opzelura CMS litigation benefit</w:t>
      </w:r>
      <w:r>
        <w:rPr>
          <w:rFonts w:ascii="Calibri" w:hAnsi="Calibri"/>
          <w:color w:val="525866"/>
          <w:sz w:val="22"/>
        </w:rPr>
        <w:t xml:space="preserve"> is treated as a clean tailwind or a one-time noise item by the Street.</w:t>
      </w:r>
    </w:p>
    <w:p>
      <w:r>
        <w:rPr>
          <w:rFonts w:ascii="Calibri" w:hAnsi="Calibri"/>
          <w:color w:val="525866"/>
          <w:sz w:val="22"/>
        </w:rPr>
        <w:t xml:space="preserve">Heading into the Q2 2026 print, the consensus bar has risen sharply — operating EPS estimates have moved from ~$1.80 post-Q1 to ~$2.25 currently, reflecting both the Opzelura CMS settlement benefit (a ~$246M non-cash reversal of prior accruals expected to flow through Q2) and continued underlying commercial momentum. Management reaffirmed full-year guidance on the Q1 call and has not revised it since, leaving the Street to interpret the CMS benefit as incremental upside to the original framework; guidance is expected to be updated on the Q2 call. The estimate trajectory has been sharply upward since late May, with the June 22 CMS settlement announcement acting as the primary catalyst — a pattern that suggests the bar is now well-understood but not necessarily over-priced, as the non-cash nature of the benefit limits multiple expansion risk. The stock has rallied ~22% since the Q1 print (vs. IBB +12%), with multiple expansion accounting for the majority of the move, implying the market has partially priced in a clean quarter but has not yet fully re-rated on the pipeline optionality from </w:t>
      </w:r>
      <w:r>
        <w:rPr>
          <w:rFonts w:ascii="Calibri" w:hAnsi="Calibri"/>
          <w:b/>
          <w:color w:val="525866"/>
          <w:sz w:val="22"/>
        </w:rPr>
        <w:t>INCA033989</w:t>
      </w:r>
      <w:r>
        <w:rPr>
          <w:rFonts w:ascii="Calibri" w:hAnsi="Calibri"/>
          <w:color w:val="525866"/>
          <w:sz w:val="22"/>
        </w:rPr>
        <w:t xml:space="preserve"> (mCALR antibody) and the newly closed </w:t>
      </w:r>
      <w:r>
        <w:rPr>
          <w:rFonts w:ascii="Calibri" w:hAnsi="Calibri"/>
          <w:b/>
          <w:color w:val="525866"/>
          <w:sz w:val="22"/>
        </w:rPr>
        <w:t>VGA039 acquisition</w:t>
      </w:r>
      <w:r>
        <w:rPr>
          <w:rFonts w:ascii="Calibri" w:hAnsi="Calibri"/>
          <w:color w:val="525866"/>
          <w:sz w:val="22"/>
        </w:rPr>
        <w:t>. The key wildcard is whether management provides a materially updated full-year revenue and EPS framework that absorbs the CMS benefit, the VGA039 R&amp;D charge (~$1.25B, Q3 event), and any early read on Jakafi XR formulary conversion progress — any guidance raise on the core business would be the incremental positive catalyst.</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moderately high bar on EPS given the CMS benefit, but the underlying commercial KPIs (Jakafi, Opzelura) are achievable. </w:t>
      </w:r>
      <w:r>
        <w:rPr>
          <w:rFonts w:ascii="Calibri" w:hAnsi="Calibri"/>
          <w:b/>
          <w:color w:val="525866"/>
          <w:sz w:val="22"/>
        </w:rPr>
        <w:t>Opzelura is the bigger swing factor</w:t>
      </w:r>
      <w:r>
        <w:rPr>
          <w:rFonts w:ascii="Calibri" w:hAnsi="Calibri"/>
          <w:color w:val="525866"/>
          <w:sz w:val="22"/>
        </w:rPr>
        <w:t xml:space="preserve"> — the CMS settlement improves gross-to-net going forward, but Q2 reported net sales will reflect the ~$246M non-cash accrual reversal, making the underlying demand read more important than the headline number.</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FY 2026 Guidance (Midpoint)</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Total Revenue ($M)</w:t>
            </w:r>
          </w:p>
        </w:tc>
        <w:tc>
          <w:tcPr>
            <w:tcW w:type="dxa" w:w="1234"/>
          </w:tcPr>
          <w:p>
            <w:r>
              <w:rPr>
                <w:rFonts w:ascii="Calibri" w:hAnsi="Calibri"/>
                <w:sz w:val="22"/>
              </w:rPr>
              <w:t>$1,272.7M</w:t>
            </w:r>
          </w:p>
        </w:tc>
        <w:tc>
          <w:tcPr>
            <w:tcW w:type="dxa" w:w="1234"/>
          </w:tcPr>
          <w:p>
            <w:r>
              <w:rPr>
                <w:rFonts w:ascii="Calibri" w:hAnsi="Calibri"/>
                <w:sz w:val="22"/>
              </w:rPr>
              <w:t>$1,215.5M</w:t>
            </w:r>
          </w:p>
        </w:tc>
        <w:tc>
          <w:tcPr>
            <w:tcW w:type="dxa" w:w="1234"/>
          </w:tcPr>
          <w:p>
            <w:r>
              <w:rPr>
                <w:rFonts w:ascii="Calibri" w:hAnsi="Calibri"/>
                <w:sz w:val="22"/>
              </w:rPr>
              <w:t>$1,504.6M</w:t>
            </w:r>
          </w:p>
        </w:tc>
        <w:tc>
          <w:tcPr>
            <w:tcW w:type="dxa" w:w="1234"/>
          </w:tcPr>
          <w:p>
            <w:r>
              <w:rPr>
                <w:rFonts w:ascii="Calibri" w:hAnsi="Calibri"/>
                <w:sz w:val="22"/>
              </w:rPr>
              <w:t>+23.8%</w:t>
            </w:r>
          </w:p>
        </w:tc>
        <w:tc>
          <w:tcPr>
            <w:tcW w:type="dxa" w:w="1234"/>
          </w:tcPr>
          <w:p>
            <w:r>
              <w:rPr>
                <w:rFonts w:ascii="Calibri" w:hAnsi="Calibri"/>
                <w:sz w:val="22"/>
              </w:rPr>
              <w:t>$5,748.5M (FY)</w:t>
            </w:r>
          </w:p>
        </w:tc>
        <w:tc>
          <w:tcPr>
            <w:tcW w:type="dxa" w:w="1234"/>
          </w:tcPr>
          <w:p>
            <w:r>
              <w:rPr>
                <w:rFonts w:ascii="Calibri" w:hAnsi="Calibri"/>
                <w:sz w:val="22"/>
              </w:rPr>
              <w:t>N/A — FY guidance not directly comparable to Q2 consensus</w:t>
            </w:r>
          </w:p>
        </w:tc>
      </w:tr>
      <w:tr>
        <w:tc>
          <w:tcPr>
            <w:tcW w:type="dxa" w:w="1234"/>
          </w:tcPr>
          <w:p>
            <w:r>
              <w:rPr>
                <w:rFonts w:ascii="Calibri" w:hAnsi="Calibri"/>
                <w:sz w:val="22"/>
              </w:rPr>
              <w:t>Operating EPS (Diluted)</w:t>
            </w:r>
          </w:p>
        </w:tc>
        <w:tc>
          <w:tcPr>
            <w:tcW w:type="dxa" w:w="1234"/>
          </w:tcPr>
          <w:p>
            <w:r>
              <w:rPr>
                <w:rFonts w:ascii="Calibri" w:hAnsi="Calibri"/>
                <w:sz w:val="22"/>
              </w:rPr>
              <w:t>$1.81</w:t>
            </w:r>
          </w:p>
        </w:tc>
        <w:tc>
          <w:tcPr>
            <w:tcW w:type="dxa" w:w="1234"/>
          </w:tcPr>
          <w:p>
            <w:r>
              <w:rPr>
                <w:rFonts w:ascii="Calibri" w:hAnsi="Calibri"/>
                <w:sz w:val="22"/>
              </w:rPr>
              <w:t>$1.57</w:t>
            </w:r>
          </w:p>
        </w:tc>
        <w:tc>
          <w:tcPr>
            <w:tcW w:type="dxa" w:w="1234"/>
          </w:tcPr>
          <w:p>
            <w:r>
              <w:rPr>
                <w:rFonts w:ascii="Calibri" w:hAnsi="Calibri"/>
                <w:sz w:val="22"/>
              </w:rPr>
              <w:t>$2.25</w:t>
            </w:r>
          </w:p>
        </w:tc>
        <w:tc>
          <w:tcPr>
            <w:tcW w:type="dxa" w:w="1234"/>
          </w:tcPr>
          <w:p>
            <w:r>
              <w:rPr>
                <w:rFonts w:ascii="Calibri" w:hAnsi="Calibri"/>
                <w:sz w:val="22"/>
              </w:rPr>
              <w:t>+43.3%</w:t>
            </w:r>
          </w:p>
        </w:tc>
        <w:tc>
          <w:tcPr>
            <w:tcW w:type="dxa" w:w="1234"/>
          </w:tcPr>
          <w:p>
            <w:r>
              <w:rPr>
                <w:rFonts w:ascii="Calibri" w:hAnsi="Calibri"/>
                <w:sz w:val="22"/>
              </w:rPr>
              <w:t>$5.44 (FY consensus)</w:t>
            </w:r>
          </w:p>
        </w:tc>
        <w:tc>
          <w:tcPr>
            <w:tcW w:type="dxa" w:w="1234"/>
          </w:tcPr>
          <w:p>
            <w:r>
              <w:rPr>
                <w:rFonts w:ascii="Calibri" w:hAnsi="Calibri"/>
                <w:sz w:val="22"/>
              </w:rPr>
              <w:t>N/A — FY guidance not provided on EPS basis</w:t>
            </w:r>
          </w:p>
        </w:tc>
      </w:tr>
      <w:tr>
        <w:tc>
          <w:tcPr>
            <w:tcW w:type="dxa" w:w="1234"/>
          </w:tcPr>
          <w:p>
            <w:r>
              <w:rPr>
                <w:rFonts w:ascii="Calibri" w:hAnsi="Calibri"/>
                <w:sz w:val="22"/>
              </w:rPr>
              <w:t>Jakafi Net Sales ($M)</w:t>
            </w:r>
          </w:p>
        </w:tc>
        <w:tc>
          <w:tcPr>
            <w:tcW w:type="dxa" w:w="1234"/>
          </w:tcPr>
          <w:p>
            <w:r>
              <w:rPr>
                <w:rFonts w:ascii="Calibri" w:hAnsi="Calibri"/>
                <w:sz w:val="22"/>
              </w:rPr>
              <w:t>$863.3M</w:t>
            </w:r>
          </w:p>
        </w:tc>
        <w:tc>
          <w:tcPr>
            <w:tcW w:type="dxa" w:w="1234"/>
          </w:tcPr>
          <w:p>
            <w:r>
              <w:rPr>
                <w:rFonts w:ascii="Calibri" w:hAnsi="Calibri"/>
                <w:sz w:val="22"/>
              </w:rPr>
              <w:t>$873.5M</w:t>
            </w:r>
          </w:p>
        </w:tc>
        <w:tc>
          <w:tcPr>
            <w:tcW w:type="dxa" w:w="1234"/>
          </w:tcPr>
          <w:p>
            <w:r>
              <w:rPr>
                <w:rFonts w:ascii="Calibri" w:hAnsi="Calibri"/>
                <w:sz w:val="22"/>
              </w:rPr>
              <w:t>$919.8M</w:t>
            </w:r>
          </w:p>
        </w:tc>
        <w:tc>
          <w:tcPr>
            <w:tcW w:type="dxa" w:w="1234"/>
          </w:tcPr>
          <w:p>
            <w:r>
              <w:rPr>
                <w:rFonts w:ascii="Calibri" w:hAnsi="Calibri"/>
                <w:sz w:val="22"/>
              </w:rPr>
              <w:t>+5.3%</w:t>
            </w:r>
          </w:p>
        </w:tc>
        <w:tc>
          <w:tcPr>
            <w:tcW w:type="dxa" w:w="1234"/>
          </w:tcPr>
          <w:p>
            <w:r>
              <w:rPr>
                <w:rFonts w:ascii="Calibri" w:hAnsi="Calibri"/>
                <w:sz w:val="22"/>
              </w:rPr>
              <w:t>$3,220–$3,270M (FY)</w:t>
            </w:r>
          </w:p>
        </w:tc>
        <w:tc>
          <w:tcPr>
            <w:tcW w:type="dxa" w:w="1234"/>
          </w:tcPr>
          <w:p>
            <w:r>
              <w:rPr>
                <w:rFonts w:ascii="Calibri" w:hAnsi="Calibri"/>
                <w:sz w:val="22"/>
              </w:rPr>
              <w:t>~+0.3% vs. midpoint annualized</w:t>
            </w:r>
          </w:p>
        </w:tc>
      </w:tr>
      <w:tr>
        <w:tc>
          <w:tcPr>
            <w:tcW w:type="dxa" w:w="1234"/>
          </w:tcPr>
          <w:p>
            <w:r>
              <w:rPr>
                <w:rFonts w:ascii="Calibri" w:hAnsi="Calibri"/>
                <w:sz w:val="22"/>
              </w:rPr>
              <w:t>Opzelura Net Sales ($M)</w:t>
            </w:r>
          </w:p>
        </w:tc>
        <w:tc>
          <w:tcPr>
            <w:tcW w:type="dxa" w:w="1234"/>
          </w:tcPr>
          <w:p>
            <w:r>
              <w:rPr>
                <w:rFonts w:ascii="Calibri" w:hAnsi="Calibri"/>
                <w:sz w:val="22"/>
              </w:rPr>
              <w:t>$143.0M</w:t>
            </w:r>
          </w:p>
        </w:tc>
        <w:tc>
          <w:tcPr>
            <w:tcW w:type="dxa" w:w="1234"/>
          </w:tcPr>
          <w:p>
            <w:r>
              <w:rPr>
                <w:rFonts w:ascii="Calibri" w:hAnsi="Calibri"/>
                <w:sz w:val="22"/>
              </w:rPr>
              <w:t>$164.5M</w:t>
            </w:r>
          </w:p>
        </w:tc>
        <w:tc>
          <w:tcPr>
            <w:tcW w:type="dxa" w:w="1234"/>
          </w:tcPr>
          <w:p>
            <w:r>
              <w:rPr>
                <w:rFonts w:ascii="Calibri" w:hAnsi="Calibri"/>
                <w:sz w:val="22"/>
              </w:rPr>
              <w:t>$309.7M*</w:t>
            </w:r>
          </w:p>
        </w:tc>
        <w:tc>
          <w:tcPr>
            <w:tcW w:type="dxa" w:w="1234"/>
          </w:tcPr>
          <w:p>
            <w:r>
              <w:rPr>
                <w:rFonts w:ascii="Calibri" w:hAnsi="Calibri"/>
                <w:sz w:val="22"/>
              </w:rPr>
              <w:t>+88.3%*</w:t>
            </w:r>
          </w:p>
        </w:tc>
        <w:tc>
          <w:tcPr>
            <w:tcW w:type="dxa" w:w="1234"/>
          </w:tcPr>
          <w:p>
            <w:r>
              <w:rPr>
                <w:rFonts w:ascii="Calibri" w:hAnsi="Calibri"/>
                <w:sz w:val="22"/>
              </w:rPr>
              <w:t>$750–$790M (FY)</w:t>
            </w:r>
          </w:p>
        </w:tc>
        <w:tc>
          <w:tcPr>
            <w:tcW w:type="dxa" w:w="1234"/>
          </w:tcPr>
          <w:p>
            <w:r>
              <w:rPr>
                <w:rFonts w:ascii="Calibri" w:hAnsi="Calibri"/>
                <w:sz w:val="22"/>
              </w:rPr>
              <w:t>Elevated vs. guidance — reflects ~$246M CMS accrual reversal</w:t>
            </w:r>
          </w:p>
        </w:tc>
      </w:tr>
      <w:tr>
        <w:tc>
          <w:tcPr>
            <w:tcW w:type="dxa" w:w="1234"/>
          </w:tcPr>
          <w:p>
            <w:r>
              <w:rPr>
                <w:rFonts w:ascii="Calibri" w:hAnsi="Calibri"/>
                <w:sz w:val="22"/>
              </w:rPr>
              <w:t>Niktimvo / Axatilimab ($M)</w:t>
            </w:r>
          </w:p>
        </w:tc>
        <w:tc>
          <w:tcPr>
            <w:tcW w:type="dxa" w:w="1234"/>
          </w:tcPr>
          <w:p>
            <w:r>
              <w:rPr>
                <w:rFonts w:ascii="Calibri" w:hAnsi="Calibri"/>
                <w:sz w:val="22"/>
              </w:rPr>
              <w:t>$55.1M</w:t>
            </w:r>
          </w:p>
        </w:tc>
        <w:tc>
          <w:tcPr>
            <w:tcW w:type="dxa" w:w="1234"/>
          </w:tcPr>
          <w:p>
            <w:r>
              <w:rPr>
                <w:rFonts w:ascii="Calibri" w:hAnsi="Calibri"/>
                <w:sz w:val="22"/>
              </w:rPr>
              <w:t>$36.2M</w:t>
            </w:r>
          </w:p>
        </w:tc>
        <w:tc>
          <w:tcPr>
            <w:tcW w:type="dxa" w:w="1234"/>
          </w:tcPr>
          <w:p>
            <w:r>
              <w:rPr>
                <w:rFonts w:ascii="Calibri" w:hAnsi="Calibri"/>
                <w:sz w:val="22"/>
              </w:rPr>
              <w:t>$62.4M</w:t>
            </w:r>
          </w:p>
        </w:tc>
        <w:tc>
          <w:tcPr>
            <w:tcW w:type="dxa" w:w="1234"/>
          </w:tcPr>
          <w:p>
            <w:r>
              <w:rPr>
                <w:rFonts w:ascii="Calibri" w:hAnsi="Calibri"/>
                <w:sz w:val="22"/>
              </w:rPr>
              <w:t>+72.6%</w:t>
            </w:r>
          </w:p>
        </w:tc>
        <w:tc>
          <w:tcPr>
            <w:tcW w:type="dxa" w:w="1234"/>
          </w:tcPr>
          <w:p>
            <w:r>
              <w:rPr>
                <w:rFonts w:ascii="Calibri" w:hAnsi="Calibri"/>
                <w:sz w:val="22"/>
              </w:rPr>
              <w:t>$258.5M (FY consensus)</w:t>
            </w:r>
          </w:p>
        </w:tc>
        <w:tc>
          <w:tcPr>
            <w:tcW w:type="dxa" w:w="1234"/>
          </w:tcPr>
          <w:p>
            <w:r>
              <w:rPr>
                <w:rFonts w:ascii="Calibri" w:hAnsi="Calibri"/>
                <w:sz w:val="22"/>
              </w:rPr>
              <w:t>N/A — no product-level guidance</w:t>
            </w:r>
          </w:p>
        </w:tc>
      </w:tr>
      <w:tr>
        <w:tc>
          <w:tcPr>
            <w:tcW w:type="dxa" w:w="1234"/>
          </w:tcPr>
          <w:p>
            <w:r>
              <w:rPr>
                <w:rFonts w:ascii="Calibri" w:hAnsi="Calibri"/>
                <w:sz w:val="22"/>
              </w:rPr>
              <w:t>Monjuvi / Tafasitamab ($M)</w:t>
            </w:r>
          </w:p>
        </w:tc>
        <w:tc>
          <w:tcPr>
            <w:tcW w:type="dxa" w:w="1234"/>
          </w:tcPr>
          <w:p>
            <w:r>
              <w:rPr>
                <w:rFonts w:ascii="Calibri" w:hAnsi="Calibri"/>
                <w:sz w:val="22"/>
              </w:rPr>
              <w:t>$49.2M</w:t>
            </w:r>
          </w:p>
        </w:tc>
        <w:tc>
          <w:tcPr>
            <w:tcW w:type="dxa" w:w="1234"/>
          </w:tcPr>
          <w:p>
            <w:r>
              <w:rPr>
                <w:rFonts w:ascii="Calibri" w:hAnsi="Calibri"/>
                <w:sz w:val="22"/>
              </w:rPr>
              <w:t>$31.1M</w:t>
            </w:r>
          </w:p>
        </w:tc>
        <w:tc>
          <w:tcPr>
            <w:tcW w:type="dxa" w:w="1234"/>
          </w:tcPr>
          <w:p>
            <w:r>
              <w:rPr>
                <w:rFonts w:ascii="Calibri" w:hAnsi="Calibri"/>
                <w:sz w:val="22"/>
              </w:rPr>
              <w:t>$51.6M</w:t>
            </w:r>
          </w:p>
        </w:tc>
        <w:tc>
          <w:tcPr>
            <w:tcW w:type="dxa" w:w="1234"/>
          </w:tcPr>
          <w:p>
            <w:r>
              <w:rPr>
                <w:rFonts w:ascii="Calibri" w:hAnsi="Calibri"/>
                <w:sz w:val="22"/>
              </w:rPr>
              <w:t>+65.8%</w:t>
            </w:r>
          </w:p>
        </w:tc>
        <w:tc>
          <w:tcPr>
            <w:tcW w:type="dxa" w:w="1234"/>
          </w:tcPr>
          <w:p>
            <w:r>
              <w:rPr>
                <w:rFonts w:ascii="Calibri" w:hAnsi="Calibri"/>
                <w:sz w:val="22"/>
              </w:rPr>
              <w:t>$214.4M (FY consensus)</w:t>
            </w:r>
          </w:p>
        </w:tc>
        <w:tc>
          <w:tcPr>
            <w:tcW w:type="dxa" w:w="1234"/>
          </w:tcPr>
          <w:p>
            <w:r>
              <w:rPr>
                <w:rFonts w:ascii="Calibri" w:hAnsi="Calibri"/>
                <w:sz w:val="22"/>
              </w:rPr>
              <w:t>N/A — no product-level guidance</w:t>
            </w:r>
          </w:p>
        </w:tc>
      </w:tr>
    </w:tbl>
    <w:p>
      <w:r>
        <w:rPr>
          <w:rFonts w:ascii="Calibri" w:hAnsi="Calibri"/>
          <w:b/>
          <w:color w:val="525866"/>
          <w:sz w:val="22"/>
        </w:rPr>
        <w:t xml:space="preserve">* </w:t>
      </w:r>
      <w:r>
        <w:rPr>
          <w:rFonts w:ascii="Calibri" w:hAnsi="Calibri"/>
          <w:color w:val="525866"/>
          <w:sz w:val="22"/>
        </w:rPr>
        <w:t>Opzelura Q2 2026 consensus of ~$309.7M includes the ~$246M non-cash benefit from the CMS litigation settlement (reversal of prior accruals through March 31, 2026). Underlying demand-driven Opzelura net sales are estimated at ~$63–70M for the quarter on a normalized basis, consistent with the Q1 2026 run-rate. Investors should focus on the underlying demand trajectory, not the headline number. Source: Visible Alpha Consensus and Actuals Data.</w:t>
      </w:r>
    </w:p>
    <w:p>
      <w:pPr>
        <w:pStyle w:val="Heading3"/>
      </w:pPr>
      <w:r>
        <w:rPr>
          <w:rFonts w:ascii="Calibri" w:hAnsi="Calibri"/>
          <w:b/>
          <w:color w:val="3B4259"/>
          <w:sz w:val="24"/>
        </w:rPr>
        <w:t>Table 2 — Beat/Miss History (Last 8 Quarters, Top 2 KPIs)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Total Revenue</w:t>
            </w:r>
          </w:p>
        </w:tc>
        <w:tc>
          <w:tcPr>
            <w:tcW w:type="dxa" w:w="1440"/>
          </w:tcPr>
          <w:p>
            <w:r>
              <w:rPr>
                <w:rFonts w:ascii="Calibri" w:hAnsi="Calibri"/>
                <w:sz w:val="22"/>
              </w:rPr>
              <w:t>$1,272.7M</w:t>
            </w:r>
          </w:p>
        </w:tc>
        <w:tc>
          <w:tcPr>
            <w:tcW w:type="dxa" w:w="1440"/>
          </w:tcPr>
          <w:p>
            <w:r>
              <w:rPr>
                <w:rFonts w:ascii="Calibri" w:hAnsi="Calibri"/>
                <w:sz w:val="22"/>
              </w:rPr>
              <w:t>$1,217.2M</w:t>
            </w:r>
          </w:p>
        </w:tc>
        <w:tc>
          <w:tcPr>
            <w:tcW w:type="dxa" w:w="1440"/>
          </w:tcPr>
          <w:p>
            <w:r>
              <w:rPr>
                <w:rFonts w:ascii="Calibri" w:hAnsi="Calibri"/>
                <w:b/>
                <w:color w:val="30A46C"/>
                <w:sz w:val="22"/>
              </w:rPr>
              <w:t>+4.6%</w:t>
            </w:r>
          </w:p>
        </w:tc>
        <w:tc>
          <w:tcPr>
            <w:tcW w:type="dxa" w:w="1440"/>
          </w:tcPr>
          <w:p>
            <w:r>
              <w:rPr>
                <w:rFonts w:ascii="Calibri" w:hAnsi="Calibri"/>
                <w:sz w:val="22"/>
              </w:rPr>
              <w:t>Beat</w:t>
            </w:r>
          </w:p>
        </w:tc>
      </w:tr>
      <w:tr>
        <w:tc>
          <w:tcPr>
            <w:tcW w:type="dxa" w:w="1440"/>
          </w:tcPr>
          <w:p>
            <w:r>
              <w:rPr>
                <w:rFonts w:ascii="Calibri" w:hAnsi="Calibri"/>
                <w:sz w:val="22"/>
              </w:rPr>
              <w:t>Q1 2026</w:t>
            </w:r>
          </w:p>
        </w:tc>
        <w:tc>
          <w:tcPr>
            <w:tcW w:type="dxa" w:w="1440"/>
          </w:tcPr>
          <w:p>
            <w:r>
              <w:rPr>
                <w:rFonts w:ascii="Calibri" w:hAnsi="Calibri"/>
                <w:sz w:val="22"/>
              </w:rPr>
              <w:t>Operating EPS</w:t>
            </w:r>
          </w:p>
        </w:tc>
        <w:tc>
          <w:tcPr>
            <w:tcW w:type="dxa" w:w="1440"/>
          </w:tcPr>
          <w:p>
            <w:r>
              <w:rPr>
                <w:rFonts w:ascii="Calibri" w:hAnsi="Calibri"/>
                <w:sz w:val="22"/>
              </w:rPr>
              <w:t>$1.81</w:t>
            </w:r>
          </w:p>
        </w:tc>
        <w:tc>
          <w:tcPr>
            <w:tcW w:type="dxa" w:w="1440"/>
          </w:tcPr>
          <w:p>
            <w:r>
              <w:rPr>
                <w:rFonts w:ascii="Calibri" w:hAnsi="Calibri"/>
                <w:sz w:val="22"/>
              </w:rPr>
              <w:t>$1.22</w:t>
            </w:r>
          </w:p>
        </w:tc>
        <w:tc>
          <w:tcPr>
            <w:tcW w:type="dxa" w:w="1440"/>
          </w:tcPr>
          <w:p>
            <w:r>
              <w:rPr>
                <w:rFonts w:ascii="Calibri" w:hAnsi="Calibri"/>
                <w:b/>
                <w:color w:val="30A46C"/>
                <w:sz w:val="22"/>
              </w:rPr>
              <w:t>+48.4%</w:t>
            </w:r>
          </w:p>
        </w:tc>
        <w:tc>
          <w:tcPr>
            <w:tcW w:type="dxa" w:w="1440"/>
          </w:tcPr>
          <w:p>
            <w:r>
              <w:rPr>
                <w:rFonts w:ascii="Calibri" w:hAnsi="Calibri"/>
                <w:sz w:val="22"/>
              </w:rPr>
              <w:t>Significant Beat</w:t>
            </w:r>
          </w:p>
        </w:tc>
      </w:tr>
      <w:tr>
        <w:tc>
          <w:tcPr>
            <w:tcW w:type="dxa" w:w="1440"/>
          </w:tcPr>
          <w:p>
            <w:r>
              <w:rPr>
                <w:rFonts w:ascii="Calibri" w:hAnsi="Calibri"/>
                <w:sz w:val="22"/>
              </w:rPr>
              <w:t>Q4 2025</w:t>
            </w:r>
          </w:p>
        </w:tc>
        <w:tc>
          <w:tcPr>
            <w:tcW w:type="dxa" w:w="1440"/>
          </w:tcPr>
          <w:p>
            <w:r>
              <w:rPr>
                <w:rFonts w:ascii="Calibri" w:hAnsi="Calibri"/>
                <w:sz w:val="22"/>
              </w:rPr>
              <w:t>Total Revenue</w:t>
            </w:r>
          </w:p>
        </w:tc>
        <w:tc>
          <w:tcPr>
            <w:tcW w:type="dxa" w:w="1440"/>
          </w:tcPr>
          <w:p>
            <w:r>
              <w:rPr>
                <w:rFonts w:ascii="Calibri" w:hAnsi="Calibri"/>
                <w:sz w:val="22"/>
              </w:rPr>
              <w:t>$1,506.8M</w:t>
            </w:r>
          </w:p>
        </w:tc>
        <w:tc>
          <w:tcPr>
            <w:tcW w:type="dxa" w:w="1440"/>
          </w:tcPr>
          <w:p>
            <w:r>
              <w:rPr>
                <w:rFonts w:ascii="Calibri" w:hAnsi="Calibri"/>
                <w:sz w:val="22"/>
              </w:rPr>
              <w:t>$1,357.7M</w:t>
            </w:r>
          </w:p>
        </w:tc>
        <w:tc>
          <w:tcPr>
            <w:tcW w:type="dxa" w:w="1440"/>
          </w:tcPr>
          <w:p>
            <w:r>
              <w:rPr>
                <w:rFonts w:ascii="Calibri" w:hAnsi="Calibri"/>
                <w:b/>
                <w:color w:val="30A46C"/>
                <w:sz w:val="22"/>
              </w:rPr>
              <w:t>+10.9%</w:t>
            </w:r>
          </w:p>
        </w:tc>
        <w:tc>
          <w:tcPr>
            <w:tcW w:type="dxa" w:w="1440"/>
          </w:tcPr>
          <w:p>
            <w:r>
              <w:rPr>
                <w:rFonts w:ascii="Calibri" w:hAnsi="Calibri"/>
                <w:sz w:val="22"/>
              </w:rPr>
              <w:t>Beat</w:t>
            </w:r>
          </w:p>
        </w:tc>
      </w:tr>
      <w:tr>
        <w:tc>
          <w:tcPr>
            <w:tcW w:type="dxa" w:w="1440"/>
          </w:tcPr>
          <w:p>
            <w:r>
              <w:rPr>
                <w:rFonts w:ascii="Calibri" w:hAnsi="Calibri"/>
                <w:sz w:val="22"/>
              </w:rPr>
              <w:t>Q4 2025</w:t>
            </w:r>
          </w:p>
        </w:tc>
        <w:tc>
          <w:tcPr>
            <w:tcW w:type="dxa" w:w="1440"/>
          </w:tcPr>
          <w:p>
            <w:r>
              <w:rPr>
                <w:rFonts w:ascii="Calibri" w:hAnsi="Calibri"/>
                <w:sz w:val="22"/>
              </w:rPr>
              <w:t>Operating EPS</w:t>
            </w:r>
          </w:p>
        </w:tc>
        <w:tc>
          <w:tcPr>
            <w:tcW w:type="dxa" w:w="1440"/>
          </w:tcPr>
          <w:p>
            <w:r>
              <w:rPr>
                <w:rFonts w:ascii="Calibri" w:hAnsi="Calibri"/>
                <w:sz w:val="22"/>
              </w:rPr>
              <w:t>$1.80</w:t>
            </w:r>
          </w:p>
        </w:tc>
        <w:tc>
          <w:tcPr>
            <w:tcW w:type="dxa" w:w="1440"/>
          </w:tcPr>
          <w:p>
            <w:r>
              <w:rPr>
                <w:rFonts w:ascii="Calibri" w:hAnsi="Calibri"/>
                <w:sz w:val="22"/>
              </w:rPr>
              <w:t>$1.93</w:t>
            </w:r>
          </w:p>
        </w:tc>
        <w:tc>
          <w:tcPr>
            <w:tcW w:type="dxa" w:w="1440"/>
          </w:tcPr>
          <w:p>
            <w:r>
              <w:rPr>
                <w:rFonts w:ascii="Calibri" w:hAnsi="Calibri"/>
                <w:b/>
                <w:color w:val="E5484D"/>
                <w:sz w:val="22"/>
              </w:rPr>
              <w:t>−6.7%</w:t>
            </w:r>
          </w:p>
        </w:tc>
        <w:tc>
          <w:tcPr>
            <w:tcW w:type="dxa" w:w="1440"/>
          </w:tcPr>
          <w:p>
            <w:r>
              <w:rPr>
                <w:rFonts w:ascii="Calibri" w:hAnsi="Calibri"/>
                <w:sz w:val="22"/>
              </w:rPr>
              <w:t>Miss</w:t>
            </w:r>
          </w:p>
        </w:tc>
      </w:tr>
      <w:tr>
        <w:tc>
          <w:tcPr>
            <w:tcW w:type="dxa" w:w="1440"/>
          </w:tcPr>
          <w:p>
            <w:r>
              <w:rPr>
                <w:rFonts w:ascii="Calibri" w:hAnsi="Calibri"/>
                <w:sz w:val="22"/>
              </w:rPr>
              <w:t>Q3 2025</w:t>
            </w:r>
          </w:p>
        </w:tc>
        <w:tc>
          <w:tcPr>
            <w:tcW w:type="dxa" w:w="1440"/>
          </w:tcPr>
          <w:p>
            <w:r>
              <w:rPr>
                <w:rFonts w:ascii="Calibri" w:hAnsi="Calibri"/>
                <w:sz w:val="22"/>
              </w:rPr>
              <w:t>Total Revenue</w:t>
            </w:r>
          </w:p>
        </w:tc>
        <w:tc>
          <w:tcPr>
            <w:tcW w:type="dxa" w:w="1440"/>
          </w:tcPr>
          <w:p>
            <w:r>
              <w:rPr>
                <w:rFonts w:ascii="Calibri" w:hAnsi="Calibri"/>
                <w:sz w:val="22"/>
              </w:rPr>
              <w:t>$1,366.0M</w:t>
            </w:r>
          </w:p>
        </w:tc>
        <w:tc>
          <w:tcPr>
            <w:tcW w:type="dxa" w:w="1440"/>
          </w:tcPr>
          <w:p>
            <w:r>
              <w:rPr>
                <w:rFonts w:ascii="Calibri" w:hAnsi="Calibri"/>
                <w:sz w:val="22"/>
              </w:rPr>
              <w:t>$1,259.0M</w:t>
            </w:r>
          </w:p>
        </w:tc>
        <w:tc>
          <w:tcPr>
            <w:tcW w:type="dxa" w:w="1440"/>
          </w:tcPr>
          <w:p>
            <w:r>
              <w:rPr>
                <w:rFonts w:ascii="Calibri" w:hAnsi="Calibri"/>
                <w:b/>
                <w:color w:val="30A46C"/>
                <w:sz w:val="22"/>
              </w:rPr>
              <w:t>+8.5%</w:t>
            </w:r>
          </w:p>
        </w:tc>
        <w:tc>
          <w:tcPr>
            <w:tcW w:type="dxa" w:w="1440"/>
          </w:tcPr>
          <w:p>
            <w:r>
              <w:rPr>
                <w:rFonts w:ascii="Calibri" w:hAnsi="Calibri"/>
                <w:sz w:val="22"/>
              </w:rPr>
              <w:t>Beat</w:t>
            </w:r>
          </w:p>
        </w:tc>
      </w:tr>
      <w:tr>
        <w:tc>
          <w:tcPr>
            <w:tcW w:type="dxa" w:w="1440"/>
          </w:tcPr>
          <w:p>
            <w:r>
              <w:rPr>
                <w:rFonts w:ascii="Calibri" w:hAnsi="Calibri"/>
                <w:sz w:val="22"/>
              </w:rPr>
              <w:t>Q3 2025</w:t>
            </w:r>
          </w:p>
        </w:tc>
        <w:tc>
          <w:tcPr>
            <w:tcW w:type="dxa" w:w="1440"/>
          </w:tcPr>
          <w:p>
            <w:r>
              <w:rPr>
                <w:rFonts w:ascii="Calibri" w:hAnsi="Calibri"/>
                <w:sz w:val="22"/>
              </w:rPr>
              <w:t>Operating EPS</w:t>
            </w:r>
          </w:p>
        </w:tc>
        <w:tc>
          <w:tcPr>
            <w:tcW w:type="dxa" w:w="1440"/>
          </w:tcPr>
          <w:p>
            <w:r>
              <w:rPr>
                <w:rFonts w:ascii="Calibri" w:hAnsi="Calibri"/>
                <w:sz w:val="22"/>
              </w:rPr>
              <w:t>$2.26</w:t>
            </w:r>
          </w:p>
        </w:tc>
        <w:tc>
          <w:tcPr>
            <w:tcW w:type="dxa" w:w="1440"/>
          </w:tcPr>
          <w:p>
            <w:r>
              <w:rPr>
                <w:rFonts w:ascii="Calibri" w:hAnsi="Calibri"/>
                <w:sz w:val="22"/>
              </w:rPr>
              <w:t>$1.71</w:t>
            </w:r>
          </w:p>
        </w:tc>
        <w:tc>
          <w:tcPr>
            <w:tcW w:type="dxa" w:w="1440"/>
          </w:tcPr>
          <w:p>
            <w:r>
              <w:rPr>
                <w:rFonts w:ascii="Calibri" w:hAnsi="Calibri"/>
                <w:b/>
                <w:color w:val="30A46C"/>
                <w:sz w:val="22"/>
              </w:rPr>
              <w:t>+32.2%</w:t>
            </w:r>
          </w:p>
        </w:tc>
        <w:tc>
          <w:tcPr>
            <w:tcW w:type="dxa" w:w="1440"/>
          </w:tcPr>
          <w:p>
            <w:r>
              <w:rPr>
                <w:rFonts w:ascii="Calibri" w:hAnsi="Calibri"/>
                <w:sz w:val="22"/>
              </w:rPr>
              <w:t>Beat</w:t>
            </w:r>
          </w:p>
        </w:tc>
      </w:tr>
      <w:tr>
        <w:tc>
          <w:tcPr>
            <w:tcW w:type="dxa" w:w="1440"/>
          </w:tcPr>
          <w:p>
            <w:r>
              <w:rPr>
                <w:rFonts w:ascii="Calibri" w:hAnsi="Calibri"/>
                <w:sz w:val="22"/>
              </w:rPr>
              <w:t>Q2 2025</w:t>
            </w:r>
          </w:p>
        </w:tc>
        <w:tc>
          <w:tcPr>
            <w:tcW w:type="dxa" w:w="1440"/>
          </w:tcPr>
          <w:p>
            <w:r>
              <w:rPr>
                <w:rFonts w:ascii="Calibri" w:hAnsi="Calibri"/>
                <w:sz w:val="22"/>
              </w:rPr>
              <w:t>Total Revenue</w:t>
            </w:r>
          </w:p>
        </w:tc>
        <w:tc>
          <w:tcPr>
            <w:tcW w:type="dxa" w:w="1440"/>
          </w:tcPr>
          <w:p>
            <w:r>
              <w:rPr>
                <w:rFonts w:ascii="Calibri" w:hAnsi="Calibri"/>
                <w:sz w:val="22"/>
              </w:rPr>
              <w:t>$1,215.5M</w:t>
            </w:r>
          </w:p>
        </w:tc>
        <w:tc>
          <w:tcPr>
            <w:tcW w:type="dxa" w:w="1440"/>
          </w:tcPr>
          <w:p>
            <w:r>
              <w:rPr>
                <w:rFonts w:ascii="Calibri" w:hAnsi="Calibri"/>
                <w:sz w:val="22"/>
              </w:rPr>
              <w:t>$1,150.7M</w:t>
            </w:r>
          </w:p>
        </w:tc>
        <w:tc>
          <w:tcPr>
            <w:tcW w:type="dxa" w:w="1440"/>
          </w:tcPr>
          <w:p>
            <w:r>
              <w:rPr>
                <w:rFonts w:ascii="Calibri" w:hAnsi="Calibri"/>
                <w:b/>
                <w:color w:val="30A46C"/>
                <w:sz w:val="22"/>
              </w:rPr>
              <w:t>+5.6%</w:t>
            </w:r>
          </w:p>
        </w:tc>
        <w:tc>
          <w:tcPr>
            <w:tcW w:type="dxa" w:w="1440"/>
          </w:tcPr>
          <w:p>
            <w:r>
              <w:rPr>
                <w:rFonts w:ascii="Calibri" w:hAnsi="Calibri"/>
                <w:sz w:val="22"/>
              </w:rPr>
              <w:t>Beat</w:t>
            </w:r>
          </w:p>
        </w:tc>
      </w:tr>
      <w:tr>
        <w:tc>
          <w:tcPr>
            <w:tcW w:type="dxa" w:w="1440"/>
          </w:tcPr>
          <w:p>
            <w:r>
              <w:rPr>
                <w:rFonts w:ascii="Calibri" w:hAnsi="Calibri"/>
                <w:sz w:val="22"/>
              </w:rPr>
              <w:t>Q2 2025</w:t>
            </w:r>
          </w:p>
        </w:tc>
        <w:tc>
          <w:tcPr>
            <w:tcW w:type="dxa" w:w="1440"/>
          </w:tcPr>
          <w:p>
            <w:r>
              <w:rPr>
                <w:rFonts w:ascii="Calibri" w:hAnsi="Calibri"/>
                <w:sz w:val="22"/>
              </w:rPr>
              <w:t>Operating EPS</w:t>
            </w:r>
          </w:p>
        </w:tc>
        <w:tc>
          <w:tcPr>
            <w:tcW w:type="dxa" w:w="1440"/>
          </w:tcPr>
          <w:p>
            <w:r>
              <w:rPr>
                <w:rFonts w:ascii="Calibri" w:hAnsi="Calibri"/>
                <w:sz w:val="22"/>
              </w:rPr>
              <w:t>$1.57</w:t>
            </w:r>
          </w:p>
        </w:tc>
        <w:tc>
          <w:tcPr>
            <w:tcW w:type="dxa" w:w="1440"/>
          </w:tcPr>
          <w:p>
            <w:r>
              <w:rPr>
                <w:rFonts w:ascii="Calibri" w:hAnsi="Calibri"/>
                <w:sz w:val="22"/>
              </w:rPr>
              <w:t>$1.44</w:t>
            </w:r>
          </w:p>
        </w:tc>
        <w:tc>
          <w:tcPr>
            <w:tcW w:type="dxa" w:w="1440"/>
          </w:tcPr>
          <w:p>
            <w:r>
              <w:rPr>
                <w:rFonts w:ascii="Calibri" w:hAnsi="Calibri"/>
                <w:b/>
                <w:color w:val="30A46C"/>
                <w:sz w:val="22"/>
              </w:rPr>
              <w:t>+9.0%</w:t>
            </w:r>
          </w:p>
        </w:tc>
        <w:tc>
          <w:tcPr>
            <w:tcW w:type="dxa" w:w="1440"/>
          </w:tcPr>
          <w:p>
            <w:r>
              <w:rPr>
                <w:rFonts w:ascii="Calibri" w:hAnsi="Calibri"/>
                <w:sz w:val="22"/>
              </w:rPr>
              <w:t>Beat</w:t>
            </w:r>
          </w:p>
        </w:tc>
      </w:tr>
      <w:tr>
        <w:tc>
          <w:tcPr>
            <w:tcW w:type="dxa" w:w="1440"/>
          </w:tcPr>
          <w:p>
            <w:r>
              <w:rPr>
                <w:rFonts w:ascii="Calibri" w:hAnsi="Calibri"/>
                <w:sz w:val="22"/>
              </w:rPr>
              <w:t>Q1 2025</w:t>
            </w:r>
          </w:p>
        </w:tc>
        <w:tc>
          <w:tcPr>
            <w:tcW w:type="dxa" w:w="1440"/>
          </w:tcPr>
          <w:p>
            <w:r>
              <w:rPr>
                <w:rFonts w:ascii="Calibri" w:hAnsi="Calibri"/>
                <w:sz w:val="22"/>
              </w:rPr>
              <w:t>Total Revenue</w:t>
            </w:r>
          </w:p>
        </w:tc>
        <w:tc>
          <w:tcPr>
            <w:tcW w:type="dxa" w:w="1440"/>
          </w:tcPr>
          <w:p>
            <w:r>
              <w:rPr>
                <w:rFonts w:ascii="Calibri" w:hAnsi="Calibri"/>
                <w:sz w:val="22"/>
              </w:rPr>
              <w:t>$1,052.9M</w:t>
            </w:r>
          </w:p>
        </w:tc>
        <w:tc>
          <w:tcPr>
            <w:tcW w:type="dxa" w:w="1440"/>
          </w:tcPr>
          <w:p>
            <w:r>
              <w:rPr>
                <w:rFonts w:ascii="Calibri" w:hAnsi="Calibri"/>
                <w:sz w:val="22"/>
              </w:rPr>
              <w:t>$988.5M</w:t>
            </w:r>
          </w:p>
        </w:tc>
        <w:tc>
          <w:tcPr>
            <w:tcW w:type="dxa" w:w="1440"/>
          </w:tcPr>
          <w:p>
            <w:r>
              <w:rPr>
                <w:rFonts w:ascii="Calibri" w:hAnsi="Calibri"/>
                <w:b/>
                <w:color w:val="30A46C"/>
                <w:sz w:val="22"/>
              </w:rPr>
              <w:t>+6.5%</w:t>
            </w:r>
          </w:p>
        </w:tc>
        <w:tc>
          <w:tcPr>
            <w:tcW w:type="dxa" w:w="1440"/>
          </w:tcPr>
          <w:p>
            <w:r>
              <w:rPr>
                <w:rFonts w:ascii="Calibri" w:hAnsi="Calibri"/>
                <w:sz w:val="22"/>
              </w:rPr>
              <w:t>Beat</w:t>
            </w:r>
          </w:p>
        </w:tc>
      </w:tr>
      <w:tr>
        <w:tc>
          <w:tcPr>
            <w:tcW w:type="dxa" w:w="1440"/>
          </w:tcPr>
          <w:p>
            <w:r>
              <w:rPr>
                <w:rFonts w:ascii="Calibri" w:hAnsi="Calibri"/>
                <w:sz w:val="22"/>
              </w:rPr>
              <w:t>Q1 2025</w:t>
            </w:r>
          </w:p>
        </w:tc>
        <w:tc>
          <w:tcPr>
            <w:tcW w:type="dxa" w:w="1440"/>
          </w:tcPr>
          <w:p>
            <w:r>
              <w:rPr>
                <w:rFonts w:ascii="Calibri" w:hAnsi="Calibri"/>
                <w:sz w:val="22"/>
              </w:rPr>
              <w:t>Operating EPS</w:t>
            </w:r>
          </w:p>
        </w:tc>
        <w:tc>
          <w:tcPr>
            <w:tcW w:type="dxa" w:w="1440"/>
          </w:tcPr>
          <w:p>
            <w:r>
              <w:rPr>
                <w:rFonts w:ascii="Calibri" w:hAnsi="Calibri"/>
                <w:sz w:val="22"/>
              </w:rPr>
              <w:t>$1.16</w:t>
            </w:r>
          </w:p>
        </w:tc>
        <w:tc>
          <w:tcPr>
            <w:tcW w:type="dxa" w:w="1440"/>
          </w:tcPr>
          <w:p>
            <w:r>
              <w:rPr>
                <w:rFonts w:ascii="Calibri" w:hAnsi="Calibri"/>
                <w:sz w:val="22"/>
              </w:rPr>
              <w:t>$1.04</w:t>
            </w:r>
          </w:p>
        </w:tc>
        <w:tc>
          <w:tcPr>
            <w:tcW w:type="dxa" w:w="1440"/>
          </w:tcPr>
          <w:p>
            <w:r>
              <w:rPr>
                <w:rFonts w:ascii="Calibri" w:hAnsi="Calibri"/>
                <w:b/>
                <w:color w:val="30A46C"/>
                <w:sz w:val="22"/>
              </w:rPr>
              <w:t>+11.5%</w:t>
            </w:r>
          </w:p>
        </w:tc>
        <w:tc>
          <w:tcPr>
            <w:tcW w:type="dxa" w:w="1440"/>
          </w:tcPr>
          <w:p>
            <w:r>
              <w:rPr>
                <w:rFonts w:ascii="Calibri" w:hAnsi="Calibri"/>
                <w:sz w:val="22"/>
              </w:rPr>
              <w:t>Beat</w:t>
            </w:r>
          </w:p>
        </w:tc>
      </w:tr>
      <w:tr>
        <w:tc>
          <w:tcPr>
            <w:tcW w:type="dxa" w:w="1440"/>
          </w:tcPr>
          <w:p>
            <w:r>
              <w:rPr>
                <w:rFonts w:ascii="Calibri" w:hAnsi="Calibri"/>
                <w:sz w:val="22"/>
              </w:rPr>
              <w:t>Q4 2024</w:t>
            </w:r>
          </w:p>
        </w:tc>
        <w:tc>
          <w:tcPr>
            <w:tcW w:type="dxa" w:w="1440"/>
          </w:tcPr>
          <w:p>
            <w:r>
              <w:rPr>
                <w:rFonts w:ascii="Calibri" w:hAnsi="Calibri"/>
                <w:sz w:val="22"/>
              </w:rPr>
              <w:t>Total Revenue</w:t>
            </w:r>
          </w:p>
        </w:tc>
        <w:tc>
          <w:tcPr>
            <w:tcW w:type="dxa" w:w="1440"/>
          </w:tcPr>
          <w:p>
            <w:r>
              <w:rPr>
                <w:rFonts w:ascii="Calibri" w:hAnsi="Calibri"/>
                <w:sz w:val="22"/>
              </w:rPr>
              <w:t>$1,178.7M</w:t>
            </w:r>
          </w:p>
        </w:tc>
        <w:tc>
          <w:tcPr>
            <w:tcW w:type="dxa" w:w="1440"/>
          </w:tcPr>
          <w:p>
            <w:r>
              <w:rPr>
                <w:rFonts w:ascii="Calibri" w:hAnsi="Calibri"/>
                <w:sz w:val="22"/>
              </w:rPr>
              <w:t>$1,145.8M</w:t>
            </w:r>
          </w:p>
        </w:tc>
        <w:tc>
          <w:tcPr>
            <w:tcW w:type="dxa" w:w="1440"/>
          </w:tcPr>
          <w:p>
            <w:r>
              <w:rPr>
                <w:rFonts w:ascii="Calibri" w:hAnsi="Calibri"/>
                <w:b/>
                <w:color w:val="30A46C"/>
                <w:sz w:val="22"/>
              </w:rPr>
              <w:t>+2.9%</w:t>
            </w:r>
          </w:p>
        </w:tc>
        <w:tc>
          <w:tcPr>
            <w:tcW w:type="dxa" w:w="1440"/>
          </w:tcPr>
          <w:p>
            <w:r>
              <w:rPr>
                <w:rFonts w:ascii="Calibri" w:hAnsi="Calibri"/>
                <w:sz w:val="22"/>
              </w:rPr>
              <w:t>Beat</w:t>
            </w:r>
          </w:p>
        </w:tc>
      </w:tr>
      <w:tr>
        <w:tc>
          <w:tcPr>
            <w:tcW w:type="dxa" w:w="1440"/>
          </w:tcPr>
          <w:p>
            <w:r>
              <w:rPr>
                <w:rFonts w:ascii="Calibri" w:hAnsi="Calibri"/>
                <w:sz w:val="22"/>
              </w:rPr>
              <w:t>Q4 2024</w:t>
            </w:r>
          </w:p>
        </w:tc>
        <w:tc>
          <w:tcPr>
            <w:tcW w:type="dxa" w:w="1440"/>
          </w:tcPr>
          <w:p>
            <w:r>
              <w:rPr>
                <w:rFonts w:ascii="Calibri" w:hAnsi="Calibri"/>
                <w:sz w:val="22"/>
              </w:rPr>
              <w:t>Operating EPS</w:t>
            </w:r>
          </w:p>
        </w:tc>
        <w:tc>
          <w:tcPr>
            <w:tcW w:type="dxa" w:w="1440"/>
          </w:tcPr>
          <w:p>
            <w:r>
              <w:rPr>
                <w:rFonts w:ascii="Calibri" w:hAnsi="Calibri"/>
                <w:sz w:val="22"/>
              </w:rPr>
              <w:t>$1.43</w:t>
            </w:r>
          </w:p>
        </w:tc>
        <w:tc>
          <w:tcPr>
            <w:tcW w:type="dxa" w:w="1440"/>
          </w:tcPr>
          <w:p>
            <w:r>
              <w:rPr>
                <w:rFonts w:ascii="Calibri" w:hAnsi="Calibri"/>
                <w:sz w:val="22"/>
              </w:rPr>
              <w:t>$1.53</w:t>
            </w:r>
          </w:p>
        </w:tc>
        <w:tc>
          <w:tcPr>
            <w:tcW w:type="dxa" w:w="1440"/>
          </w:tcPr>
          <w:p>
            <w:r>
              <w:rPr>
                <w:rFonts w:ascii="Calibri" w:hAnsi="Calibri"/>
                <w:b/>
                <w:color w:val="E5484D"/>
                <w:sz w:val="22"/>
              </w:rPr>
              <w:t>−6.5%</w:t>
            </w:r>
          </w:p>
        </w:tc>
        <w:tc>
          <w:tcPr>
            <w:tcW w:type="dxa" w:w="1440"/>
          </w:tcPr>
          <w:p>
            <w:r>
              <w:rPr>
                <w:rFonts w:ascii="Calibri" w:hAnsi="Calibri"/>
                <w:sz w:val="22"/>
              </w:rPr>
              <w:t>Miss</w:t>
            </w:r>
          </w:p>
        </w:tc>
      </w:tr>
      <w:tr>
        <w:tc>
          <w:tcPr>
            <w:tcW w:type="dxa" w:w="1440"/>
          </w:tcPr>
          <w:p>
            <w:r>
              <w:rPr>
                <w:rFonts w:ascii="Calibri" w:hAnsi="Calibri"/>
                <w:sz w:val="22"/>
              </w:rPr>
              <w:t>Q3 2024</w:t>
            </w:r>
          </w:p>
        </w:tc>
        <w:tc>
          <w:tcPr>
            <w:tcW w:type="dxa" w:w="1440"/>
          </w:tcPr>
          <w:p>
            <w:r>
              <w:rPr>
                <w:rFonts w:ascii="Calibri" w:hAnsi="Calibri"/>
                <w:sz w:val="22"/>
              </w:rPr>
              <w:t>Total Revenue</w:t>
            </w:r>
          </w:p>
        </w:tc>
        <w:tc>
          <w:tcPr>
            <w:tcW w:type="dxa" w:w="1440"/>
          </w:tcPr>
          <w:p>
            <w:r>
              <w:rPr>
                <w:rFonts w:ascii="Calibri" w:hAnsi="Calibri"/>
                <w:sz w:val="22"/>
              </w:rPr>
              <w:t>$1,137.9M</w:t>
            </w:r>
          </w:p>
        </w:tc>
        <w:tc>
          <w:tcPr>
            <w:tcW w:type="dxa" w:w="1440"/>
          </w:tcPr>
          <w:p>
            <w:r>
              <w:rPr>
                <w:rFonts w:ascii="Calibri" w:hAnsi="Calibri"/>
                <w:sz w:val="22"/>
              </w:rPr>
              <w:t>$1,081.3M</w:t>
            </w:r>
          </w:p>
        </w:tc>
        <w:tc>
          <w:tcPr>
            <w:tcW w:type="dxa" w:w="1440"/>
          </w:tcPr>
          <w:p>
            <w:r>
              <w:rPr>
                <w:rFonts w:ascii="Calibri" w:hAnsi="Calibri"/>
                <w:b/>
                <w:color w:val="30A46C"/>
                <w:sz w:val="22"/>
              </w:rPr>
              <w:t>+5.2%</w:t>
            </w:r>
          </w:p>
        </w:tc>
        <w:tc>
          <w:tcPr>
            <w:tcW w:type="dxa" w:w="1440"/>
          </w:tcPr>
          <w:p>
            <w:r>
              <w:rPr>
                <w:rFonts w:ascii="Calibri" w:hAnsi="Calibri"/>
                <w:sz w:val="22"/>
              </w:rPr>
              <w:t>Beat</w:t>
            </w:r>
          </w:p>
        </w:tc>
      </w:tr>
      <w:tr>
        <w:tc>
          <w:tcPr>
            <w:tcW w:type="dxa" w:w="1440"/>
          </w:tcPr>
          <w:p>
            <w:r>
              <w:rPr>
                <w:rFonts w:ascii="Calibri" w:hAnsi="Calibri"/>
                <w:sz w:val="22"/>
              </w:rPr>
              <w:t>Q3 2024</w:t>
            </w:r>
          </w:p>
        </w:tc>
        <w:tc>
          <w:tcPr>
            <w:tcW w:type="dxa" w:w="1440"/>
          </w:tcPr>
          <w:p>
            <w:r>
              <w:rPr>
                <w:rFonts w:ascii="Calibri" w:hAnsi="Calibri"/>
                <w:sz w:val="22"/>
              </w:rPr>
              <w:t>Operating EPS</w:t>
            </w:r>
          </w:p>
        </w:tc>
        <w:tc>
          <w:tcPr>
            <w:tcW w:type="dxa" w:w="1440"/>
          </w:tcPr>
          <w:p>
            <w:r>
              <w:rPr>
                <w:rFonts w:ascii="Calibri" w:hAnsi="Calibri"/>
                <w:sz w:val="22"/>
              </w:rPr>
              <w:t>$1.07</w:t>
            </w:r>
          </w:p>
        </w:tc>
        <w:tc>
          <w:tcPr>
            <w:tcW w:type="dxa" w:w="1440"/>
          </w:tcPr>
          <w:p>
            <w:r>
              <w:rPr>
                <w:rFonts w:ascii="Calibri" w:hAnsi="Calibri"/>
                <w:sz w:val="22"/>
              </w:rPr>
              <w:t>$0.92</w:t>
            </w:r>
          </w:p>
        </w:tc>
        <w:tc>
          <w:tcPr>
            <w:tcW w:type="dxa" w:w="1440"/>
          </w:tcPr>
          <w:p>
            <w:r>
              <w:rPr>
                <w:rFonts w:ascii="Calibri" w:hAnsi="Calibri"/>
                <w:b/>
                <w:color w:val="30A46C"/>
                <w:sz w:val="22"/>
              </w:rPr>
              <w:t>+16.3%</w:t>
            </w:r>
          </w:p>
        </w:tc>
        <w:tc>
          <w:tcPr>
            <w:tcW w:type="dxa" w:w="1440"/>
          </w:tcPr>
          <w:p>
            <w:r>
              <w:rPr>
                <w:rFonts w:ascii="Calibri" w:hAnsi="Calibri"/>
                <w:sz w:val="22"/>
              </w:rPr>
              <w:t>Beat</w:t>
            </w:r>
          </w:p>
        </w:tc>
      </w:tr>
    </w:tbl>
    <w:p>
      <w:r>
        <w:rPr>
          <w:rFonts w:ascii="Calibri" w:hAnsi="Calibri"/>
          <w:b/>
          <w:color w:val="525866"/>
          <w:sz w:val="22"/>
        </w:rPr>
        <w:t xml:space="preserve">Pattern: </w:t>
      </w:r>
      <w:r>
        <w:rPr>
          <w:rFonts w:ascii="Calibri" w:hAnsi="Calibri"/>
          <w:color w:val="525866"/>
          <w:sz w:val="22"/>
        </w:rPr>
        <w:t>INCY has beaten total revenue consensus in 8 of the last 8 quarters, with a consistent positive surprise averaging ~6–7%. Operating EPS beats have been more variable — two misses in Q4 2024 and Q4 2025 — but the Q1 2026 beat of +48% was driven by operating leverage and non-recurring items. The revenue beat pattern is durable; EPS is more sensitive to expense timing and one-time items. 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Full-year guidance was reaffirmed on the Q1 call and has not been formally revised since, but the </w:t>
      </w:r>
      <w:r>
        <w:rPr>
          <w:rFonts w:ascii="Calibri" w:hAnsi="Calibri"/>
          <w:b/>
          <w:color w:val="525866"/>
          <w:sz w:val="22"/>
        </w:rPr>
        <w:t>Opzelura CMS settlement ($246M non-cash benefit)</w:t>
      </w:r>
      <w:r>
        <w:rPr>
          <w:rFonts w:ascii="Calibri" w:hAnsi="Calibri"/>
          <w:color w:val="525866"/>
          <w:sz w:val="22"/>
        </w:rPr>
        <w:t xml:space="preserve"> and the </w:t>
      </w:r>
      <w:r>
        <w:rPr>
          <w:rFonts w:ascii="Calibri" w:hAnsi="Calibri"/>
          <w:b/>
          <w:color w:val="525866"/>
          <w:sz w:val="22"/>
        </w:rPr>
        <w:t>VGA039 acquisition close (July 6)</w:t>
      </w:r>
      <w:r>
        <w:rPr>
          <w:rFonts w:ascii="Calibri" w:hAnsi="Calibri"/>
          <w:color w:val="525866"/>
          <w:sz w:val="22"/>
        </w:rPr>
        <w:t xml:space="preserve"> are both material post-earnings events that management has flagged will be reflected in updated guidance on the Q2 call. Tone has remained confident across conference appearances.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Call, Apr 28)</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Total Net Sales (FY 2026)</w:t>
            </w:r>
          </w:p>
        </w:tc>
        <w:tc>
          <w:tcPr>
            <w:tcW w:type="dxa" w:w="1728"/>
          </w:tcPr>
          <w:p>
            <w:r>
              <w:rPr>
                <w:rFonts w:ascii="Calibri" w:hAnsi="Calibri"/>
                <w:sz w:val="22"/>
              </w:rPr>
              <w:t>$4,770–$4,940M</w:t>
            </w:r>
          </w:p>
        </w:tc>
        <w:tc>
          <w:tcPr>
            <w:tcW w:type="dxa" w:w="1728"/>
          </w:tcPr>
          <w:p>
            <w:r>
              <w:rPr>
                <w:rFonts w:ascii="Calibri" w:hAnsi="Calibri"/>
                <w:sz w:val="22"/>
              </w:rPr>
              <w:t>—</w:t>
            </w:r>
          </w:p>
        </w:tc>
        <w:tc>
          <w:tcPr>
            <w:tcW w:type="dxa" w:w="1728"/>
          </w:tcPr>
          <w:p>
            <w:r>
              <w:rPr>
                <w:rFonts w:ascii="Calibri" w:hAnsi="Calibri"/>
                <w:sz w:val="22"/>
              </w:rPr>
              <w:t>$5,748.5M</w:t>
            </w:r>
          </w:p>
        </w:tc>
        <w:tc>
          <w:tcPr>
            <w:tcW w:type="dxa" w:w="1728"/>
          </w:tcPr>
          <w:p>
            <w:r>
              <w:rPr>
                <w:rFonts w:ascii="Calibri" w:hAnsi="Calibri"/>
                <w:sz w:val="22"/>
              </w:rPr>
              <w:t>Consensus well above guidance range — reflects CMS benefit and VGA039 close; management to update on Q2 call per 8-K disclosure</w:t>
            </w:r>
          </w:p>
        </w:tc>
      </w:tr>
      <w:tr>
        <w:tc>
          <w:tcPr>
            <w:tcW w:type="dxa" w:w="1728"/>
          </w:tcPr>
          <w:p>
            <w:r>
              <w:rPr>
                <w:rFonts w:ascii="Calibri" w:hAnsi="Calibri"/>
                <w:sz w:val="22"/>
              </w:rPr>
              <w:t>Jakafi Net Sales (FY 2026)</w:t>
            </w:r>
          </w:p>
        </w:tc>
        <w:tc>
          <w:tcPr>
            <w:tcW w:type="dxa" w:w="1728"/>
          </w:tcPr>
          <w:p>
            <w:r>
              <w:rPr>
                <w:rFonts w:ascii="Calibri" w:hAnsi="Calibri"/>
                <w:sz w:val="22"/>
              </w:rPr>
              <w:t>$3,220–$3,270M</w:t>
            </w:r>
          </w:p>
        </w:tc>
        <w:tc>
          <w:tcPr>
            <w:tcW w:type="dxa" w:w="1728"/>
          </w:tcPr>
          <w:p>
            <w:r>
              <w:rPr>
                <w:rFonts w:ascii="Calibri" w:hAnsi="Calibri"/>
                <w:sz w:val="22"/>
              </w:rPr>
              <w:t>—</w:t>
            </w:r>
          </w:p>
        </w:tc>
        <w:tc>
          <w:tcPr>
            <w:tcW w:type="dxa" w:w="1728"/>
          </w:tcPr>
          <w:p>
            <w:r>
              <w:rPr>
                <w:rFonts w:ascii="Calibri" w:hAnsi="Calibri"/>
                <w:sz w:val="22"/>
              </w:rPr>
              <w:t>$3,720.2M</w:t>
            </w:r>
          </w:p>
        </w:tc>
        <w:tc>
          <w:tcPr>
            <w:tcW w:type="dxa" w:w="1728"/>
          </w:tcPr>
          <w:p>
            <w:r>
              <w:rPr>
                <w:rFonts w:ascii="Calibri" w:hAnsi="Calibri"/>
                <w:sz w:val="22"/>
              </w:rPr>
              <w:t>Consensus above guidance; includes Jakafi XR ramp; management noted XR at ~$10–12M in early sales at Goldman Sachs conference (Jun 9)</w:t>
            </w:r>
          </w:p>
        </w:tc>
      </w:tr>
      <w:tr>
        <w:tc>
          <w:tcPr>
            <w:tcW w:type="dxa" w:w="1728"/>
          </w:tcPr>
          <w:p>
            <w:r>
              <w:rPr>
                <w:rFonts w:ascii="Calibri" w:hAnsi="Calibri"/>
                <w:sz w:val="22"/>
              </w:rPr>
              <w:t>Opzelura Net Sales (FY 2026)</w:t>
            </w:r>
          </w:p>
        </w:tc>
        <w:tc>
          <w:tcPr>
            <w:tcW w:type="dxa" w:w="1728"/>
          </w:tcPr>
          <w:p>
            <w:r>
              <w:rPr>
                <w:rFonts w:ascii="Calibri" w:hAnsi="Calibri"/>
                <w:sz w:val="22"/>
              </w:rPr>
              <w:t>$750–$790M</w:t>
            </w:r>
          </w:p>
        </w:tc>
        <w:tc>
          <w:tcPr>
            <w:tcW w:type="dxa" w:w="1728"/>
          </w:tcPr>
          <w:p>
            <w:r>
              <w:rPr>
                <w:rFonts w:ascii="Calibri" w:hAnsi="Calibri"/>
                <w:sz w:val="22"/>
              </w:rPr>
              <w:t>—</w:t>
            </w:r>
          </w:p>
        </w:tc>
        <w:tc>
          <w:tcPr>
            <w:tcW w:type="dxa" w:w="1728"/>
          </w:tcPr>
          <w:p>
            <w:r>
              <w:rPr>
                <w:rFonts w:ascii="Calibri" w:hAnsi="Calibri"/>
                <w:sz w:val="22"/>
              </w:rPr>
              <w:t>$895.5M</w:t>
            </w:r>
          </w:p>
        </w:tc>
        <w:tc>
          <w:tcPr>
            <w:tcW w:type="dxa" w:w="1728"/>
          </w:tcPr>
          <w:p>
            <w:r>
              <w:rPr>
                <w:rFonts w:ascii="Calibri" w:hAnsi="Calibri"/>
                <w:sz w:val="22"/>
              </w:rPr>
              <w:t>↑ Consensus elevated vs. guidance — CMS settlement (Jun 22 8-K) expected to add ~$246M non-cash benefit in Q2 and improve go-forward gross-to-net; management to update guidance on Q2 call</w:t>
            </w:r>
          </w:p>
        </w:tc>
      </w:tr>
      <w:tr>
        <w:tc>
          <w:tcPr>
            <w:tcW w:type="dxa" w:w="1728"/>
          </w:tcPr>
          <w:p>
            <w:r>
              <w:rPr>
                <w:rFonts w:ascii="Calibri" w:hAnsi="Calibri"/>
                <w:sz w:val="22"/>
              </w:rPr>
              <w:t>Hematology/Oncology Net Sales (FY 2026)</w:t>
            </w:r>
          </w:p>
        </w:tc>
        <w:tc>
          <w:tcPr>
            <w:tcW w:type="dxa" w:w="1728"/>
          </w:tcPr>
          <w:p>
            <w:r>
              <w:rPr>
                <w:rFonts w:ascii="Calibri" w:hAnsi="Calibri"/>
                <w:sz w:val="22"/>
              </w:rPr>
              <w:t>$800–$880M</w:t>
            </w:r>
          </w:p>
        </w:tc>
        <w:tc>
          <w:tcPr>
            <w:tcW w:type="dxa" w:w="1728"/>
          </w:tcPr>
          <w:p>
            <w:r>
              <w:rPr>
                <w:rFonts w:ascii="Calibri" w:hAnsi="Calibri"/>
                <w:sz w:val="22"/>
              </w:rPr>
              <w:t>—</w:t>
            </w:r>
          </w:p>
        </w:tc>
        <w:tc>
          <w:tcPr>
            <w:tcW w:type="dxa" w:w="1728"/>
          </w:tcPr>
          <w:p>
            <w:r>
              <w:rPr>
                <w:rFonts w:ascii="Calibri" w:hAnsi="Calibri"/>
                <w:sz w:val="22"/>
              </w:rPr>
              <w:t>~$258.5M Niktimvo + ~$214.4M Monjuvi (FY consensus)</w:t>
            </w:r>
          </w:p>
        </w:tc>
        <w:tc>
          <w:tcPr>
            <w:tcW w:type="dxa" w:w="1728"/>
          </w:tcPr>
          <w:p>
            <w:r>
              <w:rPr>
                <w:rFonts w:ascii="Calibri" w:hAnsi="Calibri"/>
                <w:sz w:val="22"/>
              </w:rPr>
              <w:t>Niktimvo and Monjuvi tracking well; frontMIND DLBCL data presented at ASCO/EHA as plenary oral (HR 0.75, p=0.019) supports Monjuvi frontline launch trajectory</w:t>
            </w:r>
          </w:p>
        </w:tc>
      </w:tr>
      <w:tr>
        <w:tc>
          <w:tcPr>
            <w:tcW w:type="dxa" w:w="1728"/>
          </w:tcPr>
          <w:p>
            <w:r>
              <w:rPr>
                <w:rFonts w:ascii="Calibri" w:hAnsi="Calibri"/>
                <w:sz w:val="22"/>
              </w:rPr>
              <w:t>Total GAAP R&amp;D + SG&amp;A (FY 2026)</w:t>
            </w:r>
          </w:p>
        </w:tc>
        <w:tc>
          <w:tcPr>
            <w:tcW w:type="dxa" w:w="1728"/>
          </w:tcPr>
          <w:p>
            <w:r>
              <w:rPr>
                <w:rFonts w:ascii="Calibri" w:hAnsi="Calibri"/>
                <w:sz w:val="22"/>
              </w:rPr>
              <w:t>$3,495–$3,675M</w:t>
            </w:r>
          </w:p>
        </w:tc>
        <w:tc>
          <w:tcPr>
            <w:tcW w:type="dxa" w:w="1728"/>
          </w:tcPr>
          <w:p>
            <w:r>
              <w:rPr>
                <w:rFonts w:ascii="Calibri" w:hAnsi="Calibri"/>
                <w:sz w:val="22"/>
              </w:rPr>
              <w:t>—</w:t>
            </w:r>
          </w:p>
        </w:tc>
        <w:tc>
          <w:tcPr>
            <w:tcW w:type="dxa" w:w="1728"/>
          </w:tcPr>
          <w:p>
            <w:r>
              <w:rPr>
                <w:rFonts w:ascii="Calibri" w:hAnsi="Calibri"/>
                <w:sz w:val="22"/>
              </w:rPr>
              <w:t>N/A — not in VA</w:t>
            </w:r>
          </w:p>
        </w:tc>
        <w:tc>
          <w:tcPr>
            <w:tcW w:type="dxa" w:w="1728"/>
          </w:tcPr>
          <w:p>
            <w:r>
              <w:rPr>
                <w:rFonts w:ascii="Calibri" w:hAnsi="Calibri"/>
                <w:sz w:val="22"/>
              </w:rPr>
              <w:t>VGA039 acquisition closed Jul 6 — ~$1.25B R&amp;D charge expected in Q3 2026 GAAP/non-GAAP results; will not impact Q2 but will require full-year guidance update</w:t>
            </w:r>
          </w:p>
        </w:tc>
      </w:tr>
      <w:tr>
        <w:tc>
          <w:tcPr>
            <w:tcW w:type="dxa" w:w="1728"/>
          </w:tcPr>
          <w:p>
            <w:r>
              <w:rPr>
                <w:rFonts w:ascii="Calibri" w:hAnsi="Calibri"/>
                <w:sz w:val="22"/>
              </w:rPr>
              <w:t>Total Non-GAAP R&amp;D + SG&amp;A (FY 2026)</w:t>
            </w:r>
          </w:p>
        </w:tc>
        <w:tc>
          <w:tcPr>
            <w:tcW w:type="dxa" w:w="1728"/>
          </w:tcPr>
          <w:p>
            <w:r>
              <w:rPr>
                <w:rFonts w:ascii="Calibri" w:hAnsi="Calibri"/>
                <w:sz w:val="22"/>
              </w:rPr>
              <w:t>$3,205–$3,375M</w:t>
            </w:r>
          </w:p>
        </w:tc>
        <w:tc>
          <w:tcPr>
            <w:tcW w:type="dxa" w:w="1728"/>
          </w:tcPr>
          <w:p>
            <w:r>
              <w:rPr>
                <w:rFonts w:ascii="Calibri" w:hAnsi="Calibri"/>
                <w:sz w:val="22"/>
              </w:rPr>
              <w:t>—</w:t>
            </w:r>
          </w:p>
        </w:tc>
        <w:tc>
          <w:tcPr>
            <w:tcW w:type="dxa" w:w="1728"/>
          </w:tcPr>
          <w:p>
            <w:r>
              <w:rPr>
                <w:rFonts w:ascii="Calibri" w:hAnsi="Calibri"/>
                <w:sz w:val="22"/>
              </w:rPr>
              <w:t>N/A — not in VA</w:t>
            </w:r>
          </w:p>
        </w:tc>
        <w:tc>
          <w:tcPr>
            <w:tcW w:type="dxa" w:w="1728"/>
          </w:tcPr>
          <w:p>
            <w:r>
              <w:rPr>
                <w:rFonts w:ascii="Calibri" w:hAnsi="Calibri"/>
                <w:sz w:val="22"/>
              </w:rPr>
              <w:t>Expense guidance reaffirmed on Q1 call; Q1 GAAP R&amp;D was $516M (+18% YoY), SG&amp;A $328M (+1% YoY); operating leverage maintained</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moved sharply higher since the Q1 print, driven almost entirely by the June 22 CMS settlement announcement rather than organic demand revisions. The </w:t>
      </w:r>
      <w:r>
        <w:rPr>
          <w:rFonts w:ascii="Calibri" w:hAnsi="Calibri"/>
          <w:b/>
          <w:color w:val="525866"/>
          <w:sz w:val="22"/>
        </w:rPr>
        <w:t>EPS revision (+25% since Q1 print)</w:t>
      </w:r>
      <w:r>
        <w:rPr>
          <w:rFonts w:ascii="Calibri" w:hAnsi="Calibri"/>
          <w:color w:val="525866"/>
          <w:sz w:val="22"/>
        </w:rPr>
        <w:t xml:space="preserve"> is the most dramatic move and reflects the non-cash benefit; the underlying revenue revision is more modest and better reflects true commercial momentum. The gap between consensus and original guidance is a risk if management resets the framework conservatively on the Q2 call.</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Print (May 5, 2026)</w:t>
            </w:r>
          </w:p>
        </w:tc>
        <w:tc>
          <w:tcPr>
            <w:tcW w:type="dxa" w:w="1080"/>
            <w:shd w:val="clear" w:color="auto" w:fill="3B4259"/>
          </w:tcPr>
          <w:p>
            <w:r>
              <w:rPr>
                <w:rFonts w:ascii="Calibri" w:hAnsi="Calibri"/>
                <w:b/>
                <w:color w:val="FFFFFF"/>
                <w:sz w:val="22"/>
              </w:rPr>
              <w:t>Current Consensus</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Total Revenue (Q2 2026)</w:t>
            </w:r>
          </w:p>
        </w:tc>
        <w:tc>
          <w:tcPr>
            <w:tcW w:type="dxa" w:w="1080"/>
          </w:tcPr>
          <w:p>
            <w:r>
              <w:rPr>
                <w:rFonts w:ascii="Calibri" w:hAnsi="Calibri"/>
                <w:sz w:val="22"/>
              </w:rPr>
              <w:t>$1,366.3M</w:t>
            </w:r>
          </w:p>
        </w:tc>
        <w:tc>
          <w:tcPr>
            <w:tcW w:type="dxa" w:w="1080"/>
          </w:tcPr>
          <w:p>
            <w:r>
              <w:rPr>
                <w:rFonts w:ascii="Calibri" w:hAnsi="Calibri"/>
                <w:sz w:val="22"/>
              </w:rPr>
              <w:t>$1,504.6M</w:t>
            </w:r>
          </w:p>
        </w:tc>
        <w:tc>
          <w:tcPr>
            <w:tcW w:type="dxa" w:w="1080"/>
          </w:tcPr>
          <w:p>
            <w:r>
              <w:rPr>
                <w:rFonts w:ascii="Calibri" w:hAnsi="Calibri"/>
                <w:b/>
                <w:color w:val="30A46C"/>
                <w:sz w:val="22"/>
              </w:rPr>
              <w:t>+10.1%</w:t>
            </w:r>
          </w:p>
        </w:tc>
        <w:tc>
          <w:tcPr>
            <w:tcW w:type="dxa" w:w="1080"/>
          </w:tcPr>
          <w:p>
            <w:r>
              <w:rPr>
                <w:rFonts w:ascii="Calibri" w:hAnsi="Calibri"/>
                <w:sz w:val="22"/>
              </w:rPr>
              <w:t>No Q2-specific guidance</w:t>
            </w:r>
          </w:p>
        </w:tc>
        <w:tc>
          <w:tcPr>
            <w:tcW w:type="dxa" w:w="1080"/>
          </w:tcPr>
          <w:p>
            <w:r>
              <w:rPr>
                <w:rFonts w:ascii="Calibri" w:hAnsi="Calibri"/>
                <w:sz w:val="22"/>
              </w:rPr>
              <w:t>No Q2-specific guidance</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Operating EPS (Q2 2026)</w:t>
            </w:r>
          </w:p>
        </w:tc>
        <w:tc>
          <w:tcPr>
            <w:tcW w:type="dxa" w:w="1080"/>
          </w:tcPr>
          <w:p>
            <w:r>
              <w:rPr>
                <w:rFonts w:ascii="Calibri" w:hAnsi="Calibri"/>
                <w:sz w:val="22"/>
              </w:rPr>
              <w:t>$1.80</w:t>
            </w:r>
          </w:p>
        </w:tc>
        <w:tc>
          <w:tcPr>
            <w:tcW w:type="dxa" w:w="1080"/>
          </w:tcPr>
          <w:p>
            <w:r>
              <w:rPr>
                <w:rFonts w:ascii="Calibri" w:hAnsi="Calibri"/>
                <w:sz w:val="22"/>
              </w:rPr>
              <w:t>$2.25</w:t>
            </w:r>
          </w:p>
        </w:tc>
        <w:tc>
          <w:tcPr>
            <w:tcW w:type="dxa" w:w="1080"/>
          </w:tcPr>
          <w:p>
            <w:r>
              <w:rPr>
                <w:rFonts w:ascii="Calibri" w:hAnsi="Calibri"/>
                <w:b/>
                <w:color w:val="30A46C"/>
                <w:sz w:val="22"/>
              </w:rPr>
              <w:t>+25.0%</w:t>
            </w:r>
          </w:p>
        </w:tc>
        <w:tc>
          <w:tcPr>
            <w:tcW w:type="dxa" w:w="1080"/>
          </w:tcPr>
          <w:p>
            <w:r>
              <w:rPr>
                <w:rFonts w:ascii="Calibri" w:hAnsi="Calibri"/>
                <w:sz w:val="22"/>
              </w:rPr>
              <w:t>No Q2-specific guidance</w:t>
            </w:r>
          </w:p>
        </w:tc>
        <w:tc>
          <w:tcPr>
            <w:tcW w:type="dxa" w:w="1080"/>
          </w:tcPr>
          <w:p>
            <w:r>
              <w:rPr>
                <w:rFonts w:ascii="Calibri" w:hAnsi="Calibri"/>
                <w:sz w:val="22"/>
              </w:rPr>
              <w:t>No Q2-specific guidance</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Total Revenue (FY 2026)</w:t>
            </w:r>
          </w:p>
        </w:tc>
        <w:tc>
          <w:tcPr>
            <w:tcW w:type="dxa" w:w="1080"/>
          </w:tcPr>
          <w:p>
            <w:r>
              <w:rPr>
                <w:rFonts w:ascii="Calibri" w:hAnsi="Calibri"/>
                <w:sz w:val="22"/>
              </w:rPr>
              <w:t>$5,615.8M</w:t>
            </w:r>
          </w:p>
        </w:tc>
        <w:tc>
          <w:tcPr>
            <w:tcW w:type="dxa" w:w="1080"/>
          </w:tcPr>
          <w:p>
            <w:r>
              <w:rPr>
                <w:rFonts w:ascii="Calibri" w:hAnsi="Calibri"/>
                <w:sz w:val="22"/>
              </w:rPr>
              <w:t>$5,748.5M</w:t>
            </w:r>
          </w:p>
        </w:tc>
        <w:tc>
          <w:tcPr>
            <w:tcW w:type="dxa" w:w="1080"/>
          </w:tcPr>
          <w:p>
            <w:r>
              <w:rPr>
                <w:rFonts w:ascii="Calibri" w:hAnsi="Calibri"/>
                <w:b/>
                <w:color w:val="30A46C"/>
                <w:sz w:val="22"/>
              </w:rPr>
              <w:t>+2.4%</w:t>
            </w:r>
          </w:p>
        </w:tc>
        <w:tc>
          <w:tcPr>
            <w:tcW w:type="dxa" w:w="1080"/>
          </w:tcPr>
          <w:p>
            <w:r>
              <w:rPr>
                <w:rFonts w:ascii="Calibri" w:hAnsi="Calibri"/>
                <w:sz w:val="22"/>
              </w:rPr>
              <w:t>$4,770–$4,940M ($4,855M mid)</w:t>
            </w:r>
          </w:p>
        </w:tc>
        <w:tc>
          <w:tcPr>
            <w:tcW w:type="dxa" w:w="1080"/>
          </w:tcPr>
          <w:p>
            <w:r>
              <w:rPr>
                <w:rFonts w:ascii="Calibri" w:hAnsi="Calibri"/>
                <w:sz w:val="22"/>
              </w:rPr>
              <w:t>Unchanged (update expected Q2 call)</w:t>
            </w:r>
          </w:p>
        </w:tc>
        <w:tc>
          <w:tcPr>
            <w:tcW w:type="dxa" w:w="1080"/>
          </w:tcPr>
          <w:p>
            <w:r>
              <w:rPr>
                <w:rFonts w:ascii="Calibri" w:hAnsi="Calibri"/>
                <w:sz w:val="22"/>
              </w:rPr>
              <w:t>—</w:t>
            </w:r>
          </w:p>
        </w:tc>
        <w:tc>
          <w:tcPr>
            <w:tcW w:type="dxa" w:w="1080"/>
          </w:tcPr>
          <w:p>
            <w:r>
              <w:rPr>
                <w:rFonts w:ascii="Calibri" w:hAnsi="Calibri"/>
                <w:sz w:val="22"/>
              </w:rPr>
              <w:t>+18.4% above midpoint</w:t>
            </w:r>
          </w:p>
        </w:tc>
      </w:tr>
      <w:tr>
        <w:tc>
          <w:tcPr>
            <w:tcW w:type="dxa" w:w="1080"/>
          </w:tcPr>
          <w:p>
            <w:r>
              <w:rPr>
                <w:rFonts w:ascii="Calibri" w:hAnsi="Calibri"/>
                <w:sz w:val="22"/>
              </w:rPr>
              <w:t>Operating EPS (FY 2026)</w:t>
            </w:r>
          </w:p>
        </w:tc>
        <w:tc>
          <w:tcPr>
            <w:tcW w:type="dxa" w:w="1080"/>
          </w:tcPr>
          <w:p>
            <w:r>
              <w:rPr>
                <w:rFonts w:ascii="Calibri" w:hAnsi="Calibri"/>
                <w:sz w:val="22"/>
              </w:rPr>
              <w:t>$7.67</w:t>
            </w:r>
          </w:p>
        </w:tc>
        <w:tc>
          <w:tcPr>
            <w:tcW w:type="dxa" w:w="1080"/>
          </w:tcPr>
          <w:p>
            <w:r>
              <w:rPr>
                <w:rFonts w:ascii="Calibri" w:hAnsi="Calibri"/>
                <w:sz w:val="22"/>
              </w:rPr>
              <w:t>$5.44</w:t>
            </w:r>
          </w:p>
        </w:tc>
        <w:tc>
          <w:tcPr>
            <w:tcW w:type="dxa" w:w="1080"/>
          </w:tcPr>
          <w:p>
            <w:r>
              <w:rPr>
                <w:rFonts w:ascii="Calibri" w:hAnsi="Calibri"/>
                <w:b/>
                <w:color w:val="E5484D"/>
                <w:sz w:val="22"/>
              </w:rPr>
              <w:t>−29.1%</w:t>
            </w:r>
          </w:p>
        </w:tc>
        <w:tc>
          <w:tcPr>
            <w:tcW w:type="dxa" w:w="1080"/>
          </w:tcPr>
          <w:p>
            <w:r>
              <w:rPr>
                <w:rFonts w:ascii="Calibri" w:hAnsi="Calibri"/>
                <w:sz w:val="22"/>
              </w:rPr>
              <w:t>No EPS guidance provided</w:t>
            </w:r>
          </w:p>
        </w:tc>
        <w:tc>
          <w:tcPr>
            <w:tcW w:type="dxa" w:w="1080"/>
          </w:tcPr>
          <w:p>
            <w:r>
              <w:rPr>
                <w:rFonts w:ascii="Calibri" w:hAnsi="Calibri"/>
                <w:sz w:val="22"/>
              </w:rPr>
              <w:t>No EPS guidance provided</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Jakafi Net Sales (Q2 2026)</w:t>
            </w:r>
          </w:p>
        </w:tc>
        <w:tc>
          <w:tcPr>
            <w:tcW w:type="dxa" w:w="1080"/>
          </w:tcPr>
          <w:p>
            <w:r>
              <w:rPr>
                <w:rFonts w:ascii="Calibri" w:hAnsi="Calibri"/>
                <w:sz w:val="22"/>
              </w:rPr>
              <w:t>$917.4M</w:t>
            </w:r>
          </w:p>
        </w:tc>
        <w:tc>
          <w:tcPr>
            <w:tcW w:type="dxa" w:w="1080"/>
          </w:tcPr>
          <w:p>
            <w:r>
              <w:rPr>
                <w:rFonts w:ascii="Calibri" w:hAnsi="Calibri"/>
                <w:sz w:val="22"/>
              </w:rPr>
              <w:t>$919.8M</w:t>
            </w:r>
          </w:p>
        </w:tc>
        <w:tc>
          <w:tcPr>
            <w:tcW w:type="dxa" w:w="1080"/>
          </w:tcPr>
          <w:p>
            <w:r>
              <w:rPr>
                <w:rFonts w:ascii="Calibri" w:hAnsi="Calibri"/>
                <w:sz w:val="22"/>
              </w:rPr>
              <w:t>+0.3%</w:t>
            </w:r>
          </w:p>
        </w:tc>
        <w:tc>
          <w:tcPr>
            <w:tcW w:type="dxa" w:w="1080"/>
          </w:tcPr>
          <w:p>
            <w:r>
              <w:rPr>
                <w:rFonts w:ascii="Calibri" w:hAnsi="Calibri"/>
                <w:sz w:val="22"/>
              </w:rPr>
              <w:t>$3,220–$3,270M (FY)</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Tracking in-line with FY guidance pace</w:t>
            </w:r>
          </w:p>
        </w:tc>
      </w:tr>
      <w:tr>
        <w:tc>
          <w:tcPr>
            <w:tcW w:type="dxa" w:w="1080"/>
          </w:tcPr>
          <w:p>
            <w:r>
              <w:rPr>
                <w:rFonts w:ascii="Calibri" w:hAnsi="Calibri"/>
                <w:sz w:val="22"/>
              </w:rPr>
              <w:t>Opzelura Net Sales (Q2 2026)</w:t>
            </w:r>
          </w:p>
        </w:tc>
        <w:tc>
          <w:tcPr>
            <w:tcW w:type="dxa" w:w="1080"/>
          </w:tcPr>
          <w:p>
            <w:r>
              <w:rPr>
                <w:rFonts w:ascii="Calibri" w:hAnsi="Calibri"/>
                <w:sz w:val="22"/>
              </w:rPr>
              <w:t>$187.3M</w:t>
            </w:r>
          </w:p>
        </w:tc>
        <w:tc>
          <w:tcPr>
            <w:tcW w:type="dxa" w:w="1080"/>
          </w:tcPr>
          <w:p>
            <w:r>
              <w:rPr>
                <w:rFonts w:ascii="Calibri" w:hAnsi="Calibri"/>
                <w:sz w:val="22"/>
              </w:rPr>
              <w:t>$309.7M</w:t>
            </w:r>
          </w:p>
        </w:tc>
        <w:tc>
          <w:tcPr>
            <w:tcW w:type="dxa" w:w="1080"/>
          </w:tcPr>
          <w:p>
            <w:r>
              <w:rPr>
                <w:rFonts w:ascii="Calibri" w:hAnsi="Calibri"/>
                <w:b/>
                <w:color w:val="30A46C"/>
                <w:sz w:val="22"/>
              </w:rPr>
              <w:t>+65.4%</w:t>
            </w:r>
          </w:p>
        </w:tc>
        <w:tc>
          <w:tcPr>
            <w:tcW w:type="dxa" w:w="1080"/>
          </w:tcPr>
          <w:p>
            <w:r>
              <w:rPr>
                <w:rFonts w:ascii="Calibri" w:hAnsi="Calibri"/>
                <w:sz w:val="22"/>
              </w:rPr>
              <w:t>$750–$790M (FY)</w:t>
            </w:r>
          </w:p>
        </w:tc>
        <w:tc>
          <w:tcPr>
            <w:tcW w:type="dxa" w:w="1080"/>
          </w:tcPr>
          <w:p>
            <w:r>
              <w:rPr>
                <w:rFonts w:ascii="Calibri" w:hAnsi="Calibri"/>
                <w:sz w:val="22"/>
              </w:rPr>
              <w:t>Unchanged (update expected Q2 call)</w:t>
            </w:r>
          </w:p>
        </w:tc>
        <w:tc>
          <w:tcPr>
            <w:tcW w:type="dxa" w:w="1080"/>
          </w:tcPr>
          <w:p>
            <w:r>
              <w:rPr>
                <w:rFonts w:ascii="Calibri" w:hAnsi="Calibri"/>
                <w:sz w:val="22"/>
              </w:rPr>
              <w:t>—</w:t>
            </w:r>
          </w:p>
        </w:tc>
        <w:tc>
          <w:tcPr>
            <w:tcW w:type="dxa" w:w="1080"/>
          </w:tcPr>
          <w:p>
            <w:r>
              <w:rPr>
                <w:rFonts w:ascii="Calibri" w:hAnsi="Calibri"/>
                <w:sz w:val="22"/>
              </w:rPr>
              <w:t>Consensus +18.5% above FY guidance midpoint on annualized basis — driven by CMS benefit</w:t>
            </w:r>
          </w:p>
        </w:tc>
      </w:tr>
    </w:tbl>
    <w:p>
      <w:r>
        <w:rPr>
          <w:rFonts w:ascii="Calibri" w:hAnsi="Calibri"/>
          <w:b/>
          <w:color w:val="525866"/>
          <w:sz w:val="22"/>
        </w:rPr>
        <w:t xml:space="preserve">Note: </w:t>
      </w:r>
      <w:r>
        <w:rPr>
          <w:rFonts w:ascii="Calibri" w:hAnsi="Calibri"/>
          <w:color w:val="525866"/>
          <w:sz w:val="22"/>
        </w:rPr>
        <w:t>The FY 2026 operating EPS consensus of $5.44 appears lower than the post-Q1 baseline of $7.67 — this likely reflects model-level treatment of the ~$1.25B VGA039 R&amp;D charge expected in Q3 2026, which will weigh heavily on GAAP and non-GAAP EPS for the full year. The Q2-specific EPS revision (+25%) is the cleaner signal and reflects the CMS benefit. Jakafi estimates are stable and tracking guidance, confirming the core franchise is performing as expected. Source: Visible Alpha Consensus and Actuals Data.</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INCY has outperformed both the IBB biotech ETF and the S&amp;P 500 since the Q1 print, with the majority of the +22% gain driven by </w:t>
      </w:r>
      <w:r>
        <w:rPr>
          <w:rFonts w:ascii="Calibri" w:hAnsi="Calibri"/>
          <w:b/>
          <w:color w:val="525866"/>
          <w:sz w:val="22"/>
        </w:rPr>
        <w:t>multiple expansion</w:t>
      </w:r>
      <w:r>
        <w:rPr>
          <w:rFonts w:ascii="Calibri" w:hAnsi="Calibri"/>
          <w:color w:val="525866"/>
          <w:sz w:val="22"/>
        </w:rPr>
        <w:t xml:space="preserve"> (EV/EBITDA expanded from ~9.3x to ~12.3x over 3 months) rather than estimate revisions alone — suggesting the market is beginning to price in pipeline optionality beyond the core commercial business.</w:t>
      </w:r>
    </w:p>
    <w:p>
      <w:r>
        <w:rPr>
          <w:rFonts w:ascii="Calibri" w:hAnsi="Calibri"/>
          <w:b/>
          <w:color w:val="525866"/>
          <w:sz w:val="22"/>
        </w:rPr>
        <w:t xml:space="preserve">Sector ETF used: </w:t>
      </w:r>
      <w:r>
        <w:rPr>
          <w:rFonts w:ascii="Calibri" w:hAnsi="Calibri"/>
          <w:color w:val="525866"/>
          <w:sz w:val="22"/>
        </w:rPr>
        <w:t>iShares Biotechnology ETF (IBB) — appropriate for INCY given its primary classification as a commercial-stage biopharmaceutical company in hematology, oncology, and inflammation/autoimmunity.</w:t>
      </w:r>
    </w:p>
    <w:p>
      <w:r>
        <w:rPr>
          <w:rFonts w:ascii="Calibri" w:hAnsi="Calibri"/>
          <w:b/>
          <w:i/>
          <w:color w:val="525866"/>
          <w:sz w:val="22"/>
        </w:rPr>
        <w:t>Indexed Price Performance — INCY vs. IBB vs. S&amp;P 500 (Since Q1 2026 Earnings, April 28, 2026 = 100)</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Date</w:t>
            </w:r>
          </w:p>
        </w:tc>
        <w:tc>
          <w:tcPr>
            <w:tcW w:type="dxa" w:w="1728"/>
            <w:shd w:val="clear" w:color="auto" w:fill="3B4259"/>
          </w:tcPr>
          <w:p>
            <w:r>
              <w:rPr>
                <w:rFonts w:ascii="Calibri" w:hAnsi="Calibri"/>
                <w:b/>
                <w:color w:val="FFFFFF"/>
                <w:sz w:val="22"/>
              </w:rPr>
              <w:t>INCY (Indexed)</w:t>
            </w:r>
          </w:p>
        </w:tc>
        <w:tc>
          <w:tcPr>
            <w:tcW w:type="dxa" w:w="1728"/>
            <w:shd w:val="clear" w:color="auto" w:fill="3B4259"/>
          </w:tcPr>
          <w:p>
            <w:r>
              <w:rPr>
                <w:rFonts w:ascii="Calibri" w:hAnsi="Calibri"/>
                <w:b/>
                <w:color w:val="FFFFFF"/>
                <w:sz w:val="22"/>
              </w:rPr>
              <w:t>IBB (Indexed)</w:t>
            </w:r>
          </w:p>
        </w:tc>
        <w:tc>
          <w:tcPr>
            <w:tcW w:type="dxa" w:w="1728"/>
            <w:shd w:val="clear" w:color="auto" w:fill="3B4259"/>
          </w:tcPr>
          <w:p>
            <w:r>
              <w:rPr>
                <w:rFonts w:ascii="Calibri" w:hAnsi="Calibri"/>
                <w:b/>
                <w:color w:val="FFFFFF"/>
                <w:sz w:val="22"/>
              </w:rPr>
              <w:t>SPY (Indexed)</w:t>
            </w:r>
          </w:p>
        </w:tc>
        <w:tc>
          <w:tcPr>
            <w:tcW w:type="dxa" w:w="1728"/>
            <w:shd w:val="clear" w:color="auto" w:fill="3B4259"/>
          </w:tcPr>
          <w:p>
            <w:r>
              <w:rPr>
                <w:rFonts w:ascii="Calibri" w:hAnsi="Calibri"/>
                <w:b/>
                <w:color w:val="FFFFFF"/>
                <w:sz w:val="22"/>
              </w:rPr>
              <w:t>Key Event</w:t>
            </w:r>
          </w:p>
        </w:tc>
      </w:tr>
      <w:tr>
        <w:tc>
          <w:tcPr>
            <w:tcW w:type="dxa" w:w="1728"/>
          </w:tcPr>
          <w:p>
            <w:r>
              <w:rPr>
                <w:rFonts w:ascii="Calibri" w:hAnsi="Calibri"/>
                <w:sz w:val="22"/>
              </w:rPr>
              <w:t>Apr 28, 2026 (Q1 Print)</w:t>
            </w:r>
          </w:p>
        </w:tc>
        <w:tc>
          <w:tcPr>
            <w:tcW w:type="dxa" w:w="1728"/>
          </w:tcPr>
          <w:p>
            <w:r>
              <w:rPr>
                <w:rFonts w:ascii="Calibri" w:hAnsi="Calibri"/>
                <w:sz w:val="22"/>
              </w:rPr>
              <w:t>100.0</w:t>
            </w:r>
          </w:p>
        </w:tc>
        <w:tc>
          <w:tcPr>
            <w:tcW w:type="dxa" w:w="1728"/>
          </w:tcPr>
          <w:p>
            <w:r>
              <w:rPr>
                <w:rFonts w:ascii="Calibri" w:hAnsi="Calibri"/>
                <w:sz w:val="22"/>
              </w:rPr>
              <w:t>100.0</w:t>
            </w:r>
          </w:p>
        </w:tc>
        <w:tc>
          <w:tcPr>
            <w:tcW w:type="dxa" w:w="1728"/>
          </w:tcPr>
          <w:p>
            <w:r>
              <w:rPr>
                <w:rFonts w:ascii="Calibri" w:hAnsi="Calibri"/>
                <w:sz w:val="22"/>
              </w:rPr>
              <w:t>100.0</w:t>
            </w:r>
          </w:p>
        </w:tc>
        <w:tc>
          <w:tcPr>
            <w:tcW w:type="dxa" w:w="1728"/>
          </w:tcPr>
          <w:p>
            <w:r>
              <w:rPr>
                <w:rFonts w:ascii="Calibri" w:hAnsi="Calibri"/>
                <w:sz w:val="22"/>
              </w:rPr>
              <w:t>Q1 2026 Earnings — Beat on revenue &amp; EPS; stock -2.4% day-of</w:t>
            </w:r>
          </w:p>
        </w:tc>
      </w:tr>
      <w:tr>
        <w:tc>
          <w:tcPr>
            <w:tcW w:type="dxa" w:w="1728"/>
          </w:tcPr>
          <w:p>
            <w:r>
              <w:rPr>
                <w:rFonts w:ascii="Calibri" w:hAnsi="Calibri"/>
                <w:sz w:val="22"/>
              </w:rPr>
              <w:t>May 13, 2026</w:t>
            </w:r>
          </w:p>
        </w:tc>
        <w:tc>
          <w:tcPr>
            <w:tcW w:type="dxa" w:w="1728"/>
          </w:tcPr>
          <w:p>
            <w:r>
              <w:rPr>
                <w:rFonts w:ascii="Calibri" w:hAnsi="Calibri"/>
                <w:sz w:val="22"/>
              </w:rPr>
              <w:t>99.8</w:t>
            </w:r>
          </w:p>
        </w:tc>
        <w:tc>
          <w:tcPr>
            <w:tcW w:type="dxa" w:w="1728"/>
          </w:tcPr>
          <w:p>
            <w:r>
              <w:rPr>
                <w:rFonts w:ascii="Calibri" w:hAnsi="Calibri"/>
                <w:sz w:val="22"/>
              </w:rPr>
              <w:t>101.3</w:t>
            </w:r>
          </w:p>
        </w:tc>
        <w:tc>
          <w:tcPr>
            <w:tcW w:type="dxa" w:w="1728"/>
          </w:tcPr>
          <w:p>
            <w:r>
              <w:rPr>
                <w:rFonts w:ascii="Calibri" w:hAnsi="Calibri"/>
                <w:sz w:val="22"/>
              </w:rPr>
              <w:t>103.9</w:t>
            </w:r>
          </w:p>
        </w:tc>
        <w:tc>
          <w:tcPr>
            <w:tcW w:type="dxa" w:w="1728"/>
          </w:tcPr>
          <w:p>
            <w:r>
              <w:rPr>
                <w:rFonts w:ascii="Calibri" w:hAnsi="Calibri"/>
                <w:sz w:val="22"/>
              </w:rPr>
              <w:t>BofA Global Healthcare Conference — CEO Meury detailed Jakafi XR launch progress, Opzelura growth trajectory</w:t>
            </w:r>
          </w:p>
        </w:tc>
      </w:tr>
      <w:tr>
        <w:tc>
          <w:tcPr>
            <w:tcW w:type="dxa" w:w="1728"/>
          </w:tcPr>
          <w:p>
            <w:r>
              <w:rPr>
                <w:rFonts w:ascii="Calibri" w:hAnsi="Calibri"/>
                <w:sz w:val="22"/>
              </w:rPr>
              <w:t>Jun 3–4, 2026</w:t>
            </w:r>
          </w:p>
        </w:tc>
        <w:tc>
          <w:tcPr>
            <w:tcW w:type="dxa" w:w="1728"/>
          </w:tcPr>
          <w:p>
            <w:r>
              <w:rPr>
                <w:rFonts w:ascii="Calibri" w:hAnsi="Calibri"/>
                <w:sz w:val="22"/>
              </w:rPr>
              <w:t>100.3–103.6</w:t>
            </w:r>
          </w:p>
        </w:tc>
        <w:tc>
          <w:tcPr>
            <w:tcW w:type="dxa" w:w="1728"/>
          </w:tcPr>
          <w:p>
            <w:r>
              <w:rPr>
                <w:rFonts w:ascii="Calibri" w:hAnsi="Calibri"/>
                <w:sz w:val="22"/>
              </w:rPr>
              <w:t>99.7–102.2</w:t>
            </w:r>
          </w:p>
        </w:tc>
        <w:tc>
          <w:tcPr>
            <w:tcW w:type="dxa" w:w="1728"/>
          </w:tcPr>
          <w:p>
            <w:r>
              <w:rPr>
                <w:rFonts w:ascii="Calibri" w:hAnsi="Calibri"/>
                <w:sz w:val="22"/>
              </w:rPr>
              <w:t>105.9–106.4</w:t>
            </w:r>
          </w:p>
        </w:tc>
        <w:tc>
          <w:tcPr>
            <w:tcW w:type="dxa" w:w="1728"/>
          </w:tcPr>
          <w:p>
            <w:r>
              <w:rPr>
                <w:rFonts w:ascii="Calibri" w:hAnsi="Calibri"/>
                <w:sz w:val="22"/>
              </w:rPr>
              <w:t>Stock re-rated higher; VGA039 acquisition announced Jun 8</w:t>
            </w:r>
          </w:p>
        </w:tc>
      </w:tr>
      <w:tr>
        <w:tc>
          <w:tcPr>
            <w:tcW w:type="dxa" w:w="1728"/>
          </w:tcPr>
          <w:p>
            <w:r>
              <w:rPr>
                <w:rFonts w:ascii="Calibri" w:hAnsi="Calibri"/>
                <w:sz w:val="22"/>
              </w:rPr>
              <w:t>Jun 8, 2026</w:t>
            </w:r>
          </w:p>
        </w:tc>
        <w:tc>
          <w:tcPr>
            <w:tcW w:type="dxa" w:w="1728"/>
          </w:tcPr>
          <w:p>
            <w:r>
              <w:rPr>
                <w:rFonts w:ascii="Calibri" w:hAnsi="Calibri"/>
                <w:sz w:val="22"/>
              </w:rPr>
              <w:t>102.9</w:t>
            </w:r>
          </w:p>
        </w:tc>
        <w:tc>
          <w:tcPr>
            <w:tcW w:type="dxa" w:w="1728"/>
          </w:tcPr>
          <w:p>
            <w:r>
              <w:rPr>
                <w:rFonts w:ascii="Calibri" w:hAnsi="Calibri"/>
                <w:sz w:val="22"/>
              </w:rPr>
              <w:t>99.5</w:t>
            </w:r>
          </w:p>
        </w:tc>
        <w:tc>
          <w:tcPr>
            <w:tcW w:type="dxa" w:w="1728"/>
          </w:tcPr>
          <w:p>
            <w:r>
              <w:rPr>
                <w:rFonts w:ascii="Calibri" w:hAnsi="Calibri"/>
                <w:sz w:val="22"/>
              </w:rPr>
              <w:t>103.9</w:t>
            </w:r>
          </w:p>
        </w:tc>
        <w:tc>
          <w:tcPr>
            <w:tcW w:type="dxa" w:w="1728"/>
          </w:tcPr>
          <w:p>
            <w:r>
              <w:rPr>
                <w:rFonts w:ascii="Calibri" w:hAnsi="Calibri"/>
                <w:sz w:val="22"/>
              </w:rPr>
              <w:t>VGA039 / Vega Therapeutics acquisition announced ($1.25B upfront + up to $750M milestones)</w:t>
            </w:r>
          </w:p>
        </w:tc>
      </w:tr>
      <w:tr>
        <w:tc>
          <w:tcPr>
            <w:tcW w:type="dxa" w:w="1728"/>
          </w:tcPr>
          <w:p>
            <w:r>
              <w:rPr>
                <w:rFonts w:ascii="Calibri" w:hAnsi="Calibri"/>
                <w:sz w:val="22"/>
              </w:rPr>
              <w:t>Jun 9, 2026</w:t>
            </w:r>
          </w:p>
        </w:tc>
        <w:tc>
          <w:tcPr>
            <w:tcW w:type="dxa" w:w="1728"/>
          </w:tcPr>
          <w:p>
            <w:r>
              <w:rPr>
                <w:rFonts w:ascii="Calibri" w:hAnsi="Calibri"/>
                <w:sz w:val="22"/>
              </w:rPr>
              <w:t>105.6</w:t>
            </w:r>
          </w:p>
        </w:tc>
        <w:tc>
          <w:tcPr>
            <w:tcW w:type="dxa" w:w="1728"/>
          </w:tcPr>
          <w:p>
            <w:r>
              <w:rPr>
                <w:rFonts w:ascii="Calibri" w:hAnsi="Calibri"/>
                <w:sz w:val="22"/>
              </w:rPr>
              <w:t>100.9</w:t>
            </w:r>
          </w:p>
        </w:tc>
        <w:tc>
          <w:tcPr>
            <w:tcW w:type="dxa" w:w="1728"/>
          </w:tcPr>
          <w:p>
            <w:r>
              <w:rPr>
                <w:rFonts w:ascii="Calibri" w:hAnsi="Calibri"/>
                <w:sz w:val="22"/>
              </w:rPr>
              <w:t>103.6</w:t>
            </w:r>
          </w:p>
        </w:tc>
        <w:tc>
          <w:tcPr>
            <w:tcW w:type="dxa" w:w="1728"/>
          </w:tcPr>
          <w:p>
            <w:r>
              <w:rPr>
                <w:rFonts w:ascii="Calibri" w:hAnsi="Calibri"/>
                <w:sz w:val="22"/>
              </w:rPr>
              <w:t>Goldman Sachs Healthcare Conference — CEO Meury provided 989 EHA preview, Jakafi XR formulary update</w:t>
            </w:r>
          </w:p>
        </w:tc>
      </w:tr>
      <w:tr>
        <w:tc>
          <w:tcPr>
            <w:tcW w:type="dxa" w:w="1728"/>
          </w:tcPr>
          <w:p>
            <w:r>
              <w:rPr>
                <w:rFonts w:ascii="Calibri" w:hAnsi="Calibri"/>
                <w:sz w:val="22"/>
              </w:rPr>
              <w:t>Jun 22, 2026</w:t>
            </w:r>
          </w:p>
        </w:tc>
        <w:tc>
          <w:tcPr>
            <w:tcW w:type="dxa" w:w="1728"/>
          </w:tcPr>
          <w:p>
            <w:r>
              <w:rPr>
                <w:rFonts w:ascii="Calibri" w:hAnsi="Calibri"/>
                <w:sz w:val="22"/>
              </w:rPr>
              <w:t>106.1</w:t>
            </w:r>
          </w:p>
        </w:tc>
        <w:tc>
          <w:tcPr>
            <w:tcW w:type="dxa" w:w="1728"/>
          </w:tcPr>
          <w:p>
            <w:r>
              <w:rPr>
                <w:rFonts w:ascii="Calibri" w:hAnsi="Calibri"/>
                <w:sz w:val="22"/>
              </w:rPr>
              <w:t>105.5</w:t>
            </w:r>
          </w:p>
        </w:tc>
        <w:tc>
          <w:tcPr>
            <w:tcW w:type="dxa" w:w="1728"/>
          </w:tcPr>
          <w:p>
            <w:r>
              <w:rPr>
                <w:rFonts w:ascii="Calibri" w:hAnsi="Calibri"/>
                <w:sz w:val="22"/>
              </w:rPr>
              <w:t>104.6</w:t>
            </w:r>
          </w:p>
        </w:tc>
        <w:tc>
          <w:tcPr>
            <w:tcW w:type="dxa" w:w="1728"/>
          </w:tcPr>
          <w:p>
            <w:r>
              <w:rPr>
                <w:rFonts w:ascii="Calibri" w:hAnsi="Calibri"/>
                <w:sz w:val="22"/>
              </w:rPr>
              <w:t>Opzelura CMS litigation settlement — ~$246M non-cash benefit announced via 8-K; stock +5.5% on the day</w:t>
            </w:r>
          </w:p>
        </w:tc>
      </w:tr>
      <w:tr>
        <w:tc>
          <w:tcPr>
            <w:tcW w:type="dxa" w:w="1728"/>
          </w:tcPr>
          <w:p>
            <w:r>
              <w:rPr>
                <w:rFonts w:ascii="Calibri" w:hAnsi="Calibri"/>
                <w:sz w:val="22"/>
              </w:rPr>
              <w:t>Jun 26, 2026</w:t>
            </w:r>
          </w:p>
        </w:tc>
        <w:tc>
          <w:tcPr>
            <w:tcW w:type="dxa" w:w="1728"/>
          </w:tcPr>
          <w:p>
            <w:r>
              <w:rPr>
                <w:rFonts w:ascii="Calibri" w:hAnsi="Calibri"/>
                <w:sz w:val="22"/>
              </w:rPr>
              <w:t>116.4</w:t>
            </w:r>
          </w:p>
        </w:tc>
        <w:tc>
          <w:tcPr>
            <w:tcW w:type="dxa" w:w="1728"/>
          </w:tcPr>
          <w:p>
            <w:r>
              <w:rPr>
                <w:rFonts w:ascii="Calibri" w:hAnsi="Calibri"/>
                <w:sz w:val="22"/>
              </w:rPr>
              <w:t>111.6</w:t>
            </w:r>
          </w:p>
        </w:tc>
        <w:tc>
          <w:tcPr>
            <w:tcW w:type="dxa" w:w="1728"/>
          </w:tcPr>
          <w:p>
            <w:r>
              <w:rPr>
                <w:rFonts w:ascii="Calibri" w:hAnsi="Calibri"/>
                <w:sz w:val="22"/>
              </w:rPr>
              <w:t>102.4</w:t>
            </w:r>
          </w:p>
        </w:tc>
        <w:tc>
          <w:tcPr>
            <w:tcW w:type="dxa" w:w="1728"/>
          </w:tcPr>
          <w:p>
            <w:r>
              <w:rPr>
                <w:rFonts w:ascii="Calibri" w:hAnsi="Calibri"/>
                <w:sz w:val="22"/>
              </w:rPr>
              <w:t>Post-CMS settlement rally continues; INCY diverges from IBB</w:t>
            </w:r>
          </w:p>
        </w:tc>
      </w:tr>
      <w:tr>
        <w:tc>
          <w:tcPr>
            <w:tcW w:type="dxa" w:w="1728"/>
          </w:tcPr>
          <w:p>
            <w:r>
              <w:rPr>
                <w:rFonts w:ascii="Calibri" w:hAnsi="Calibri"/>
                <w:sz w:val="22"/>
              </w:rPr>
              <w:t>Jul 6, 2026</w:t>
            </w:r>
          </w:p>
        </w:tc>
        <w:tc>
          <w:tcPr>
            <w:tcW w:type="dxa" w:w="1728"/>
          </w:tcPr>
          <w:p>
            <w:r>
              <w:rPr>
                <w:rFonts w:ascii="Calibri" w:hAnsi="Calibri"/>
                <w:sz w:val="22"/>
              </w:rPr>
              <w:t>118.3</w:t>
            </w:r>
          </w:p>
        </w:tc>
        <w:tc>
          <w:tcPr>
            <w:tcW w:type="dxa" w:w="1728"/>
          </w:tcPr>
          <w:p>
            <w:r>
              <w:rPr>
                <w:rFonts w:ascii="Calibri" w:hAnsi="Calibri"/>
                <w:sz w:val="22"/>
              </w:rPr>
              <w:t>116.4</w:t>
            </w:r>
          </w:p>
        </w:tc>
        <w:tc>
          <w:tcPr>
            <w:tcW w:type="dxa" w:w="1728"/>
          </w:tcPr>
          <w:p>
            <w:r>
              <w:rPr>
                <w:rFonts w:ascii="Calibri" w:hAnsi="Calibri"/>
                <w:sz w:val="22"/>
              </w:rPr>
              <w:t>105.6</w:t>
            </w:r>
          </w:p>
        </w:tc>
        <w:tc>
          <w:tcPr>
            <w:tcW w:type="dxa" w:w="1728"/>
          </w:tcPr>
          <w:p>
            <w:r>
              <w:rPr>
                <w:rFonts w:ascii="Calibri" w:hAnsi="Calibri"/>
                <w:sz w:val="22"/>
              </w:rPr>
              <w:t>VGA039 acquisition closed; 8-K filed</w:t>
            </w:r>
          </w:p>
        </w:tc>
      </w:tr>
      <w:tr>
        <w:tc>
          <w:tcPr>
            <w:tcW w:type="dxa" w:w="1728"/>
          </w:tcPr>
          <w:p>
            <w:r>
              <w:rPr>
                <w:rFonts w:ascii="Calibri" w:hAnsi="Calibri"/>
                <w:sz w:val="22"/>
              </w:rPr>
              <w:t>Jul 28, 2026 (Pre-Earnings)</w:t>
            </w:r>
          </w:p>
        </w:tc>
        <w:tc>
          <w:tcPr>
            <w:tcW w:type="dxa" w:w="1728"/>
          </w:tcPr>
          <w:p>
            <w:r>
              <w:rPr>
                <w:rFonts w:ascii="Calibri" w:hAnsi="Calibri"/>
                <w:sz w:val="22"/>
              </w:rPr>
              <w:t>121.6</w:t>
            </w:r>
          </w:p>
        </w:tc>
        <w:tc>
          <w:tcPr>
            <w:tcW w:type="dxa" w:w="1728"/>
          </w:tcPr>
          <w:p>
            <w:r>
              <w:rPr>
                <w:rFonts w:ascii="Calibri" w:hAnsi="Calibri"/>
                <w:sz w:val="22"/>
              </w:rPr>
              <w:t>112.2</w:t>
            </w:r>
          </w:p>
        </w:tc>
        <w:tc>
          <w:tcPr>
            <w:tcW w:type="dxa" w:w="1728"/>
          </w:tcPr>
          <w:p>
            <w:r>
              <w:rPr>
                <w:rFonts w:ascii="Calibri" w:hAnsi="Calibri"/>
                <w:sz w:val="22"/>
              </w:rPr>
              <w:t>103.9</w:t>
            </w:r>
          </w:p>
        </w:tc>
        <w:tc>
          <w:tcPr>
            <w:tcW w:type="dxa" w:w="1728"/>
          </w:tcPr>
          <w:p>
            <w:r>
              <w:rPr>
                <w:rFonts w:ascii="Calibri" w:hAnsi="Calibri"/>
                <w:sz w:val="22"/>
              </w:rPr>
              <w:t>Pre-earnings; INCY +21.6% vs. IBB +12.2% vs. SPY +3.9% since Q1 print</w:t>
            </w:r>
          </w:p>
        </w:tc>
      </w:tr>
    </w:tbl>
    <w:p>
      <w:r>
        <w:rPr>
          <w:rFonts w:ascii="Calibri" w:hAnsi="Calibri"/>
          <w:b/>
          <w:color w:val="525866"/>
          <w:sz w:val="22"/>
        </w:rPr>
        <w:t xml:space="preserve">Performance Summary: </w:t>
      </w:r>
      <w:r>
        <w:rPr>
          <w:rFonts w:ascii="Calibri" w:hAnsi="Calibri"/>
          <w:color w:val="525866"/>
          <w:sz w:val="22"/>
        </w:rPr>
        <w:t>INCY +21.6% | IBB +12.2% | S&amp;P 500 +3.9% since April 28, 2026 Q1 earnings close. The stock's outperformance vs. IBB accelerated sharply in late June following the CMS settlement announcement, with the stock gaining ~6% in a single session on June 22. Multiple expansion (EV/EBITDA from ~9.3x to ~12.3x over 3 months, per stock performance decomposition data) accounts for the majority of the price appreciation, suggesting the market is re-rating the company on pipeline potential rather than near-term earnings power alone. Source: Stock Price Data (Yahoo Finance).</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 xml:space="preserve">The two most material post-Q1 developments are the </w:t>
      </w:r>
      <w:r>
        <w:rPr>
          <w:rFonts w:ascii="Calibri" w:hAnsi="Calibri"/>
          <w:b/>
          <w:color w:val="525866"/>
          <w:sz w:val="22"/>
        </w:rPr>
        <w:t>Opzelura CMS litigation settlement</w:t>
      </w:r>
      <w:r>
        <w:rPr>
          <w:rFonts w:ascii="Calibri" w:hAnsi="Calibri"/>
          <w:color w:val="525866"/>
          <w:sz w:val="22"/>
        </w:rPr>
        <w:t xml:space="preserve"> (direct Q2 P&amp;L impact) and the </w:t>
      </w:r>
      <w:r>
        <w:rPr>
          <w:rFonts w:ascii="Calibri" w:hAnsi="Calibri"/>
          <w:b/>
          <w:color w:val="525866"/>
          <w:sz w:val="22"/>
        </w:rPr>
        <w:t>VGA039 acquisition close</w:t>
      </w:r>
      <w:r>
        <w:rPr>
          <w:rFonts w:ascii="Calibri" w:hAnsi="Calibri"/>
          <w:color w:val="525866"/>
          <w:sz w:val="22"/>
        </w:rPr>
        <w:t xml:space="preserve"> (Q3 R&amp;D charge, long-term hematology growth driver). Both will require guidance updates on the Q2 call and are the primary focus for investors.</w:t>
      </w:r>
    </w:p>
    <w:p>
      <w:pPr>
        <w:pStyle w:val="ListBullet"/>
        <w:ind w:left="360" w:hanging="360"/>
      </w:pPr>
      <w:r>
        <w:rPr>
          <w:rFonts w:ascii="Calibri" w:hAnsi="Calibri"/>
          <w:b/>
          <w:color w:val="525866"/>
          <w:sz w:val="22"/>
        </w:rPr>
        <w:t>June 22, 2026 — Opzelura CMS Litigation Settlement (8-K):</w:t>
      </w:r>
      <w:r>
        <w:rPr>
          <w:rFonts w:ascii="Calibri" w:hAnsi="Calibri"/>
          <w:color w:val="525866"/>
          <w:sz w:val="22"/>
        </w:rPr>
        <w:t xml:space="preserve"> Incyte reached an agreement with CMS to resolve litigation over Medicaid rebate line-extension rules applied to Opzelura. CMS will not apply the line-extension regulation to Opzelura as if it were a line extension of Jakafi. Incyte expects to record a </w:t>
      </w:r>
      <w:r>
        <w:rPr>
          <w:rFonts w:ascii="Calibri" w:hAnsi="Calibri"/>
          <w:b/>
          <w:color w:val="525866"/>
          <w:sz w:val="22"/>
        </w:rPr>
        <w:t>~$246M one-time non-cash benefit in Q2 2026</w:t>
      </w:r>
      <w:r>
        <w:rPr>
          <w:rFonts w:ascii="Calibri" w:hAnsi="Calibri"/>
          <w:color w:val="525866"/>
          <w:sz w:val="22"/>
        </w:rPr>
        <w:t xml:space="preserve"> from reversal of prior accruals through March 31, 2026. Going forward, Opzelura's gross-to-net will improve permanently. Management stated guidance will be updated on the Q2 earnings call. </w:t>
      </w:r>
    </w:p>
    <w:p>
      <w:pPr>
        <w:pStyle w:val="ListBullet"/>
        <w:ind w:left="360" w:hanging="360"/>
      </w:pPr>
      <w:r>
        <w:rPr>
          <w:rFonts w:ascii="Calibri" w:hAnsi="Calibri"/>
          <w:b/>
          <w:color w:val="525866"/>
          <w:sz w:val="22"/>
        </w:rPr>
        <w:t>July 6, 2026 — VGA039 / Vega Therapeutics Acquisition Closed (8-K):</w:t>
      </w:r>
      <w:r>
        <w:rPr>
          <w:rFonts w:ascii="Calibri" w:hAnsi="Calibri"/>
          <w:color w:val="525866"/>
          <w:sz w:val="22"/>
        </w:rPr>
        <w:t xml:space="preserve"> Incyte completed its acquisition of Vega Therapeutics (Star Therapeutics subsidiary), adding VGA039 — a Phase 3 Protein S-targeting monoclonal antibody for von Willebrand disease (VWD) — to its hematology portfolio. Total consideration: $1.25B upfront + up to $750M in sales milestones. A </w:t>
      </w:r>
      <w:r>
        <w:rPr>
          <w:rFonts w:ascii="Calibri" w:hAnsi="Calibri"/>
          <w:b/>
          <w:color w:val="525866"/>
          <w:sz w:val="22"/>
        </w:rPr>
        <w:t>~$1.25B R&amp;D charge is expected in Q3 2026</w:t>
      </w:r>
      <w:r>
        <w:rPr>
          <w:rFonts w:ascii="Calibri" w:hAnsi="Calibri"/>
          <w:color w:val="525866"/>
          <w:sz w:val="22"/>
        </w:rPr>
        <w:t xml:space="preserve"> (GAAP and non-GAAP). VGA039 has FDA Breakthrough Therapy, Fast Track, orphan drug, and rare pediatric disease designations. Phase 3 VIVID-6 study enrolling all VWD types. Peak sales framed at ~$1B+. </w:t>
      </w:r>
    </w:p>
    <w:p>
      <w:pPr>
        <w:pStyle w:val="ListBullet"/>
        <w:ind w:left="360" w:hanging="360"/>
      </w:pPr>
      <w:r>
        <w:rPr>
          <w:rFonts w:ascii="Calibri" w:hAnsi="Calibri"/>
          <w:b/>
          <w:color w:val="525866"/>
          <w:sz w:val="22"/>
        </w:rPr>
        <w:t>June 8, 2026 — VGA039 Acquisition Announced:</w:t>
      </w:r>
      <w:r>
        <w:rPr>
          <w:rFonts w:ascii="Calibri" w:hAnsi="Calibri"/>
          <w:color w:val="525866"/>
          <w:sz w:val="22"/>
        </w:rPr>
        <w:t xml:space="preserve"> Incyte announced the definitive agreement to acquire Vega Therapeutics for $1.25B upfront. CEO Bill Meury framed the deal as the first major acquisition under his tenure and a textbook example of Incyte’s BD framework: novel mechanism, hematology fit, Phase 3-ready, needle-moving revenue potential. Deal used just over 20% of the go-forward balance sheet. </w:t>
      </w:r>
    </w:p>
    <w:p>
      <w:pPr>
        <w:pStyle w:val="ListBullet"/>
        <w:ind w:left="360" w:hanging="360"/>
      </w:pPr>
      <w:r>
        <w:rPr>
          <w:rFonts w:ascii="Calibri" w:hAnsi="Calibri"/>
          <w:b/>
          <w:color w:val="525866"/>
          <w:sz w:val="22"/>
        </w:rPr>
        <w:t>May 2026 — Jakafi XR Launch Initiated:</w:t>
      </w:r>
      <w:r>
        <w:rPr>
          <w:rFonts w:ascii="Calibri" w:hAnsi="Calibri"/>
          <w:color w:val="525866"/>
          <w:sz w:val="22"/>
        </w:rPr>
        <w:t xml:space="preserve"> Jakafi XR (once-daily extended-release ruxolitinib) launched in May 2026 following FDA approval. Priced at parity to Jakafi IR to accelerate formulary coverage. By the Goldman Sachs conference (June 9), Optum, CVS, 14 regional plans, and 4 Medicaid states had added XR to formulary. Early sales of </w:t>
      </w:r>
      <w:r>
        <w:rPr>
          <w:rFonts w:ascii="Calibri" w:hAnsi="Calibri"/>
          <w:b/>
          <w:color w:val="525866"/>
          <w:sz w:val="22"/>
        </w:rPr>
        <w:t>~$10–12M</w:t>
      </w:r>
      <w:r>
        <w:rPr>
          <w:rFonts w:ascii="Calibri" w:hAnsi="Calibri"/>
          <w:color w:val="525866"/>
          <w:sz w:val="22"/>
        </w:rPr>
        <w:t xml:space="preserve"> with year-end target of ~$50–75M. Conversion expected to accelerate in 2027 as formulary coverage builds toward 50%+. </w:t>
      </w:r>
    </w:p>
    <w:p>
      <w:pPr>
        <w:pStyle w:val="ListBullet"/>
        <w:ind w:left="360" w:hanging="360"/>
      </w:pPr>
      <w:r>
        <w:rPr>
          <w:rFonts w:ascii="Calibri" w:hAnsi="Calibri"/>
          <w:b/>
          <w:color w:val="525866"/>
          <w:sz w:val="22"/>
        </w:rPr>
        <w:t>May 13, 2026 — BofA Global Healthcare Conference:</w:t>
      </w:r>
      <w:r>
        <w:rPr>
          <w:rFonts w:ascii="Calibri" w:hAnsi="Calibri"/>
          <w:color w:val="525866"/>
          <w:sz w:val="22"/>
        </w:rPr>
        <w:t xml:space="preserve"> CEO Meury provided detailed commercial update. Opzelura new-to-brand patient starts up 30% in Q1 2026; 46% share of new patient starts. Jakafi PV growing at 10%+ and on track to become the largest Jakafi indication by year-end 2026. Povo (povorcitinib) HS launch targeted Q1 2027; peak sales framed at $1–2B across HS, vitiligo, and PN. </w:t>
      </w:r>
    </w:p>
    <w:p>
      <w:pPr>
        <w:pStyle w:val="ListBullet"/>
        <w:ind w:left="360" w:hanging="360"/>
      </w:pPr>
      <w:r>
        <w:rPr>
          <w:rFonts w:ascii="Calibri" w:hAnsi="Calibri"/>
          <w:b/>
          <w:color w:val="525866"/>
          <w:sz w:val="22"/>
        </w:rPr>
        <w:t>June 9, 2026 — Goldman Sachs Global Healthcare Conference:</w:t>
      </w:r>
      <w:r>
        <w:rPr>
          <w:rFonts w:ascii="Calibri" w:hAnsi="Calibri"/>
          <w:color w:val="525866"/>
          <w:sz w:val="22"/>
        </w:rPr>
        <w:t xml:space="preserve"> CEO Meury confirmed Jakafi XR formulary progress, previewed EHA 989 data (~100 ET patients, ~70% overall CHR, ~90% type 1 CHR), and confirmed 989 ET Phase 3 is enrolling. Confirmed JAK2 V617F program (INCB160058) data not trending as hoped; program to be reassessed later in 2026. </w:t>
      </w:r>
    </w:p>
    <w:p>
      <w:pPr>
        <w:pStyle w:val="ListBullet"/>
        <w:ind w:left="360" w:hanging="360"/>
      </w:pPr>
      <w:r>
        <w:rPr>
          <w:rFonts w:ascii="Calibri" w:hAnsi="Calibri"/>
          <w:b/>
          <w:color w:val="525866"/>
          <w:sz w:val="22"/>
        </w:rPr>
        <w:t>May 19, 2026 — RBC Capital Markets Global Healthcare Conference:</w:t>
      </w:r>
      <w:r>
        <w:rPr>
          <w:rFonts w:ascii="Calibri" w:hAnsi="Calibri"/>
          <w:color w:val="525866"/>
          <w:sz w:val="22"/>
        </w:rPr>
        <w:t xml:space="preserve"> CMO Steven Stein provided detailed 989 regulatory strategy update. Confirmed end-of-Phase 2 FDA meeting for second-line MF composite endpoint scheduled for “later this summer.” Opzelura HS mild study expanded by 100 patients per arm (no timeline impact) to control placebo response rate. </w:t>
      </w:r>
    </w:p>
    <w:p>
      <w:pPr>
        <w:pStyle w:val="ListBullet"/>
        <w:ind w:left="360" w:hanging="360"/>
      </w:pPr>
      <w:r>
        <w:rPr>
          <w:rFonts w:ascii="Calibri" w:hAnsi="Calibri"/>
          <w:b/>
          <w:color w:val="525866"/>
          <w:sz w:val="22"/>
        </w:rPr>
        <w:t>April 28, 2026 — Povo Vitiligo Phase 3 Positive Data:</w:t>
      </w:r>
      <w:r>
        <w:rPr>
          <w:rFonts w:ascii="Calibri" w:hAnsi="Calibri"/>
          <w:color w:val="525866"/>
          <w:sz w:val="22"/>
        </w:rPr>
        <w:t xml:space="preserve"> Announced on Q1 earnings call — both STOP-V1 and STOP-V2 studies met primary endpoint (F-VASI75 at Week 52: 18.9% vs. 6.8% and 3.1% placebo, p&lt;0.001 in both). NDA filing for vitiligo planned for first half of 2027. Adds ~$250M incremental peak sales opportunity. </w:t>
      </w:r>
    </w:p>
    <w:p>
      <w:pPr>
        <w:pStyle w:val="ListBullet"/>
        <w:ind w:left="360" w:hanging="360"/>
      </w:pPr>
      <w:r>
        <w:rPr>
          <w:rFonts w:ascii="Calibri" w:hAnsi="Calibri"/>
          <w:b/>
          <w:color w:val="525866"/>
          <w:sz w:val="22"/>
        </w:rPr>
        <w:t>April 28, 2026 — Management Restructuring:</w:t>
      </w:r>
      <w:r>
        <w:rPr>
          <w:rFonts w:ascii="Calibri" w:hAnsi="Calibri"/>
          <w:color w:val="525866"/>
          <w:sz w:val="22"/>
        </w:rPr>
        <w:t xml:space="preserve"> New CFO Suketu (Suky) Upadhyay effective May 4, 2026. Pablo Cagnoni elevated to President and Global Head of R&amp;D. Mohamed Issa leading integrated U.S. commercial organization. Framed as building enterprise-level capabilities ahead of four anticipated product launches. </w:t>
      </w:r>
    </w:p>
    <w:p>
      <w:r>
        <w:br w:type="page"/>
      </w:r>
    </w:p>
    <w:p>
      <w:pPr>
        <w:pStyle w:val="Heading2"/>
      </w:pPr>
      <w:r>
        <w:rPr>
          <w:rFonts w:ascii="Calibri" w:hAnsi="Calibri"/>
          <w:b/>
          <w:color w:val="3B4259"/>
          <w:sz w:val="28"/>
        </w:rPr>
        <w:t>7. Peer Commentaries — Q2 2026 Current-Quarter Read-Through</w:t>
      </w:r>
    </w:p>
    <w:p>
      <w:r>
        <w:rPr>
          <w:rFonts w:ascii="Calibri" w:hAnsi="Calibri"/>
          <w:b/>
          <w:color w:val="525866"/>
          <w:sz w:val="22"/>
        </w:rPr>
        <w:t xml:space="preserve">Key Takeaway: </w:t>
      </w:r>
      <w:r>
        <w:rPr>
          <w:rFonts w:ascii="Calibri" w:hAnsi="Calibri"/>
          <w:color w:val="525866"/>
          <w:sz w:val="22"/>
        </w:rPr>
        <w:t xml:space="preserve">Peer commentary from AbbVie and Regeneron during Q2 2026 (both speaking to current-quarter dynamics) points to a </w:t>
      </w:r>
      <w:r>
        <w:rPr>
          <w:rFonts w:ascii="Calibri" w:hAnsi="Calibri"/>
          <w:b/>
          <w:color w:val="525866"/>
          <w:sz w:val="22"/>
        </w:rPr>
        <w:t>robust, fast-growing, and under-penetrated immunology/dermatology market</w:t>
      </w:r>
      <w:r>
        <w:rPr>
          <w:rFonts w:ascii="Calibri" w:hAnsi="Calibri"/>
          <w:color w:val="525866"/>
          <w:sz w:val="22"/>
        </w:rPr>
        <w:t xml:space="preserve"> — a constructive read-through for Opzelura demand. The competitive intensity is real but the market is expanding faster than any single player can capture, limiting zero-sum dynamics in the near term.</w:t>
      </w:r>
    </w:p>
    <w:p>
      <w:r>
        <w:rPr>
          <w:rFonts w:ascii="Calibri" w:hAnsi="Calibri"/>
          <w:b/>
          <w:color w:val="525866"/>
          <w:sz w:val="22"/>
        </w:rPr>
        <w:t xml:space="preserve">Scope &amp; Methodology: </w:t>
      </w:r>
      <w:r>
        <w:rPr>
          <w:rFonts w:ascii="Calibri" w:hAnsi="Calibri"/>
          <w:color w:val="525866"/>
          <w:sz w:val="22"/>
        </w:rPr>
        <w:t>Only commentary made during Q2 2026 (April 1 – June 30, 2026) that addresses current-quarter market dynamics, demand trends, or competitive conditions is included below. Historical peer earnings recaps (e.g., Q1 2026 results commentary from Q1 calls) are excluded. Read-through applicability is explicitly noted for each item. Sources: Goldman Sachs Global Healthcare Conference transcripts (ABBV June 9, REGN June 8, ABBV Apogee acquisition call June 22).</w:t>
      </w:r>
    </w:p>
    <w:p>
      <w:pPr>
        <w:pStyle w:val="Heading3"/>
      </w:pPr>
      <w:r>
        <w:rPr>
          <w:rFonts w:ascii="Calibri" w:hAnsi="Calibri"/>
          <w:b/>
          <w:color w:val="3B4259"/>
          <w:sz w:val="24"/>
        </w:rPr>
        <w:t>AbbVie (ABBV) — Goldman Sachs Global Healthcare Conference, June 9, 2026</w:t>
      </w:r>
    </w:p>
    <w:p>
      <w:r>
        <w:rPr>
          <w:rFonts w:ascii="Calibri" w:hAnsi="Calibri"/>
          <w:b/>
          <w:color w:val="525866"/>
          <w:sz w:val="22"/>
        </w:rPr>
        <w:t xml:space="preserve">Read-Through Applicability: </w:t>
      </w:r>
      <w:r>
        <w:rPr>
          <w:rFonts w:ascii="Calibri" w:hAnsi="Calibri"/>
          <w:color w:val="525866"/>
          <w:sz w:val="22"/>
        </w:rPr>
        <w:t>Moderate-to-High for Opzelura (AD market dynamics, JAK inhibitor positioning); Moderate for Povo HS (competitive landscape commentary). AbbVie does not compete directly with Opzelura (topical) or Povo (oral JAK1) in the same line of therapy, but its commentary on market size, penetration, and treatment sequencing is directly relevant to Incyte’s commercial environment.</w:t>
      </w:r>
    </w:p>
    <w:p>
      <w:pPr>
        <w:pStyle w:val="ListBullet"/>
        <w:ind w:left="360" w:hanging="360"/>
      </w:pPr>
      <w:r>
        <w:rPr>
          <w:rFonts w:ascii="Calibri" w:hAnsi="Calibri"/>
          <w:b/>
          <w:color w:val="525866"/>
          <w:sz w:val="22"/>
        </w:rPr>
        <w:t>AD Market Growing &gt;15% Annually, Penetration Only ~8%:</w:t>
      </w:r>
      <w:r>
        <w:rPr>
          <w:rFonts w:ascii="Calibri" w:hAnsi="Calibri"/>
          <w:color w:val="525866"/>
          <w:sz w:val="22"/>
        </w:rPr>
        <w:t xml:space="preserve"> AbbVie CFO Scott Reents and CSO Rupal Thakkar confirmed the AD market is “growing at over 15% per year” and penetration is “about 8%, which is by far the lowest of any immunological category.” This is a direct positive read-through for Opzelura — the market is expanding faster than any single product can capture, and Incyte’s 46% share of new patient starts (per BofA conference, May 13) is being achieved in a growing pool. </w:t>
      </w:r>
    </w:p>
    <w:p>
      <w:pPr>
        <w:pStyle w:val="ListBullet"/>
        <w:ind w:left="360" w:hanging="360"/>
      </w:pPr>
      <w:r>
        <w:rPr>
          <w:rFonts w:ascii="Calibri" w:hAnsi="Calibri"/>
          <w:b/>
          <w:color w:val="525866"/>
          <w:sz w:val="22"/>
        </w:rPr>
        <w:t>JAK Inhibitor Positioning in AD — Second-Line After Biologics:</w:t>
      </w:r>
      <w:r>
        <w:rPr>
          <w:rFonts w:ascii="Calibri" w:hAnsi="Calibri"/>
          <w:color w:val="525866"/>
          <w:sz w:val="22"/>
        </w:rPr>
        <w:t xml:space="preserve"> AbbVie confirmed that Rinvoq’s US label requires use “after systemic exposure, including a biologic,” positioning it in second and later lines. This is relevant for Opzelura, which competes in the topical/mild-to-moderate segment and is not subject to the same step-through requirements. AbbVie’s strategy of positioning a biologic (Zoomy) in first line and Rinvoq in later lines does not directly threaten Opzelura’s topical positioning. </w:t>
      </w:r>
    </w:p>
    <w:p>
      <w:pPr>
        <w:pStyle w:val="ListBullet"/>
        <w:ind w:left="360" w:hanging="360"/>
      </w:pPr>
      <w:r>
        <w:rPr>
          <w:rFonts w:ascii="Calibri" w:hAnsi="Calibri"/>
          <w:b/>
          <w:color w:val="525866"/>
          <w:sz w:val="22"/>
        </w:rPr>
        <w:t>Competitive Intensity Acknowledged, But Market Expansion Dominates:</w:t>
      </w:r>
      <w:r>
        <w:rPr>
          <w:rFonts w:ascii="Calibri" w:hAnsi="Calibri"/>
          <w:color w:val="525866"/>
          <w:sz w:val="22"/>
        </w:rPr>
        <w:t xml:space="preserve"> AbbVie acknowledged the AD market is “quite competitive” with “many assets,” but emphasized that “because of the low penetration rates and underserved market here, these types of innovations here will, will be rewarded.” This supports the view that Opzelura can continue to grow even as new entrants (including AbbVie’s Zoomy, targeting early 2030 launch) enter the market. </w:t>
      </w:r>
    </w:p>
    <w:p>
      <w:pPr>
        <w:pStyle w:val="ListBullet"/>
        <w:ind w:left="360" w:hanging="360"/>
      </w:pPr>
      <w:r>
        <w:rPr>
          <w:rFonts w:ascii="Calibri" w:hAnsi="Calibri"/>
          <w:b/>
          <w:color w:val="525866"/>
          <w:sz w:val="22"/>
        </w:rPr>
        <w:t>HS Competitive Landscape — AbbVie Developing Rinvoq + Biologic Combo:</w:t>
      </w:r>
      <w:r>
        <w:rPr>
          <w:rFonts w:ascii="Calibri" w:hAnsi="Calibri"/>
          <w:color w:val="525866"/>
          <w:sz w:val="22"/>
        </w:rPr>
        <w:t xml:space="preserve"> AbbVie confirmed it is “developing against [HS] with Mab and Rinvoq,” positioning a biologic + JAK inhibitor combination. This is relevant for Povo’s HS launch (targeted Q1 2027) — AbbVie’s combination approach is a longer-dated competitive threat (not yet approved), and Povo’s pre-biologic and post-biologic label coverage is a differentiator. </w:t>
      </w:r>
    </w:p>
    <w:p>
      <w:pPr>
        <w:pStyle w:val="ListBullet"/>
        <w:ind w:left="360" w:hanging="360"/>
      </w:pPr>
      <w:r>
        <w:rPr>
          <w:rFonts w:ascii="Calibri" w:hAnsi="Calibri"/>
          <w:b/>
          <w:color w:val="525866"/>
          <w:sz w:val="22"/>
        </w:rPr>
        <w:t>More Competition in Immunology Noted Mid-Quarter:</w:t>
      </w:r>
      <w:r>
        <w:rPr>
          <w:rFonts w:ascii="Calibri" w:hAnsi="Calibri"/>
          <w:color w:val="525866"/>
          <w:sz w:val="22"/>
        </w:rPr>
        <w:t xml:space="preserve"> AbbVie CFO noted “more competition in certain areas, certain immunology” and that they were “deep into the quarter now” — suggesting Q2 2026 immunology market dynamics are competitive but manageable for established players. Skyrizi and Rinvoq growing “in excess of 20% in their eighth year on the market despite the entry of more competitors” — a positive signal for durable branded immunology demand. </w:t>
      </w:r>
    </w:p>
    <w:p>
      <w:pPr>
        <w:pStyle w:val="Heading3"/>
      </w:pPr>
      <w:r>
        <w:rPr>
          <w:rFonts w:ascii="Calibri" w:hAnsi="Calibri"/>
          <w:b/>
          <w:color w:val="3B4259"/>
          <w:sz w:val="24"/>
        </w:rPr>
        <w:t>AbbVie (ABBV) — Apogee Therapeutics Acquisition Call, June 22, 2026</w:t>
      </w:r>
    </w:p>
    <w:p>
      <w:r>
        <w:rPr>
          <w:rFonts w:ascii="Calibri" w:hAnsi="Calibri"/>
          <w:b/>
          <w:color w:val="525866"/>
          <w:sz w:val="22"/>
        </w:rPr>
        <w:t xml:space="preserve">Read-Through Applicability: </w:t>
      </w:r>
      <w:r>
        <w:rPr>
          <w:rFonts w:ascii="Calibri" w:hAnsi="Calibri"/>
          <w:color w:val="525866"/>
          <w:sz w:val="22"/>
        </w:rPr>
        <w:t>Moderate for Opzelura (AD market structure and long-term competitive dynamics); Low-to-Moderate for Povo (HS and PN pipeline context). This call was focused on AbbVie’s acquisition of Apogee Therapeutics (anti-IL-13 antibody “Zoomy” for AD, targeting early 2030 launch) and does not reflect current-quarter demand trends directly, but provides important context on the long-term competitive landscape Incyte is navigating.</w:t>
      </w:r>
    </w:p>
    <w:p>
      <w:pPr>
        <w:pStyle w:val="ListBullet"/>
        <w:ind w:left="360" w:hanging="360"/>
      </w:pPr>
      <w:r>
        <w:rPr>
          <w:rFonts w:ascii="Calibri" w:hAnsi="Calibri"/>
          <w:b/>
          <w:color w:val="525866"/>
          <w:sz w:val="22"/>
        </w:rPr>
        <w:t>AD Market Described as “Two to Two-and-a-Half Times Larger Than Psoriasis”:</w:t>
      </w:r>
      <w:r>
        <w:rPr>
          <w:rFonts w:ascii="Calibri" w:hAnsi="Calibri"/>
          <w:color w:val="525866"/>
          <w:sz w:val="22"/>
        </w:rPr>
        <w:t xml:space="preserve"> AbbVie’s CSO Thakkar confirmed the moderate-to-severe AD market is approximately 2–2.5x the size of psoriasis, with penetration under 10% and growth exceeding 15% annually. This reinforces the long-term runway for Opzelura and supports Incyte management’s framing of Opzelura approaching ~$1B in revenue by 2030. </w:t>
      </w:r>
    </w:p>
    <w:p>
      <w:pPr>
        <w:pStyle w:val="ListBullet"/>
        <w:ind w:left="360" w:hanging="360"/>
      </w:pPr>
      <w:r>
        <w:rPr>
          <w:rFonts w:ascii="Calibri" w:hAnsi="Calibri"/>
          <w:b/>
          <w:color w:val="525866"/>
          <w:sz w:val="22"/>
        </w:rPr>
        <w:t>Biosimilar Entry Does Not “Take All the Air Out of the Market”:</w:t>
      </w:r>
      <w:r>
        <w:rPr>
          <w:rFonts w:ascii="Calibri" w:hAnsi="Calibri"/>
          <w:color w:val="525866"/>
          <w:sz w:val="22"/>
        </w:rPr>
        <w:t xml:space="preserve"> AbbVie’s commercial chief Jeff Stewart stated that “the first biosimilar does not necessarily sort of take all the air out of the market, particularly one that is frankly so immature.” This is relevant context for Opzelura’s long-term positioning as Dupixent biosimilars approach (Dupixent composition of matter patent expires 2031). </w:t>
      </w:r>
    </w:p>
    <w:p>
      <w:pPr>
        <w:pStyle w:val="ListBullet"/>
        <w:ind w:left="360" w:hanging="360"/>
      </w:pPr>
      <w:r>
        <w:rPr>
          <w:rFonts w:ascii="Calibri" w:hAnsi="Calibri"/>
          <w:b/>
          <w:color w:val="525866"/>
          <w:sz w:val="22"/>
        </w:rPr>
        <w:t>Importance of Launching Ahead of Biosimilars for Formulary Access:</w:t>
      </w:r>
      <w:r>
        <w:rPr>
          <w:rFonts w:ascii="Calibri" w:hAnsi="Calibri"/>
          <w:color w:val="525866"/>
          <w:sz w:val="22"/>
        </w:rPr>
        <w:t xml:space="preserve"> AbbVie emphasized that “it is important to basically come out ahead of the emergence of biosimilars” for favorable payer negotiations. This is a positive read-through for Opzelura, which is already well-established in formulary and has a strong payer position ahead of any Dupixent biosimilar entry. </w:t>
      </w:r>
    </w:p>
    <w:p>
      <w:pPr>
        <w:pStyle w:val="ListBullet"/>
        <w:ind w:left="360" w:hanging="360"/>
      </w:pPr>
      <w:r>
        <w:rPr>
          <w:rFonts w:ascii="Calibri" w:hAnsi="Calibri"/>
          <w:b/>
          <w:color w:val="525866"/>
          <w:sz w:val="22"/>
        </w:rPr>
        <w:t>Convenience and Efficacy Both Matter in Dermatology:</w:t>
      </w:r>
      <w:r>
        <w:rPr>
          <w:rFonts w:ascii="Calibri" w:hAnsi="Calibri"/>
          <w:color w:val="525866"/>
          <w:sz w:val="22"/>
        </w:rPr>
        <w:t xml:space="preserve"> AbbVie’s CEO Rob Michael noted that “convenience is an important factor” in dermatology (vs. efficacy being more dominant in IBD). This supports Opzelura’s topical convenience positioning and Povo’s oral once-daily dosing as meaningful commercial differentiators. </w:t>
      </w:r>
    </w:p>
    <w:p>
      <w:pPr>
        <w:pStyle w:val="ListBullet"/>
        <w:ind w:left="360" w:hanging="360"/>
      </w:pPr>
      <w:r>
        <w:rPr>
          <w:rFonts w:ascii="Calibri" w:hAnsi="Calibri"/>
          <w:b/>
          <w:color w:val="525866"/>
          <w:sz w:val="22"/>
        </w:rPr>
        <w:t>Prurigo Nodularis (PN) and Asthma Identified as Large Opportunities:</w:t>
      </w:r>
      <w:r>
        <w:rPr>
          <w:rFonts w:ascii="Calibri" w:hAnsi="Calibri"/>
          <w:color w:val="525866"/>
          <w:sz w:val="22"/>
        </w:rPr>
        <w:t xml:space="preserve"> AbbVie plans to develop Zoomy in PN, chronic pruritus, eosinophilic esophagitis, and chronic spontaneous urticaria. This validates the PN market opportunity that Incyte is pursuing with Povo (Phase 3 data expected Q4 2026). </w:t>
      </w:r>
    </w:p>
    <w:p>
      <w:pPr>
        <w:pStyle w:val="Heading3"/>
      </w:pPr>
      <w:r>
        <w:rPr>
          <w:rFonts w:ascii="Calibri" w:hAnsi="Calibri"/>
          <w:b/>
          <w:color w:val="3B4259"/>
          <w:sz w:val="24"/>
        </w:rPr>
        <w:t>Regeneron (REGN) — Goldman Sachs Global Healthcare Conference, June 8, 2026</w:t>
      </w:r>
    </w:p>
    <w:p>
      <w:r>
        <w:rPr>
          <w:rFonts w:ascii="Calibri" w:hAnsi="Calibri"/>
          <w:b/>
          <w:color w:val="525866"/>
          <w:sz w:val="22"/>
        </w:rPr>
        <w:t xml:space="preserve">Read-Through Applicability: </w:t>
      </w:r>
      <w:r>
        <w:rPr>
          <w:rFonts w:ascii="Calibri" w:hAnsi="Calibri"/>
          <w:color w:val="525866"/>
          <w:sz w:val="22"/>
        </w:rPr>
        <w:t>Moderate for Opzelura (Dupixent AD market dynamics as the dominant competitor); Low for Povo/HS (Regeneron does not have a direct HS program). Regeneron’s commentary reflects the dominant biologic competitor in AD and provides a market-level read on demand trends heading into Q2 2026.</w:t>
      </w:r>
    </w:p>
    <w:p>
      <w:pPr>
        <w:pStyle w:val="ListBullet"/>
        <w:ind w:left="360" w:hanging="360"/>
      </w:pPr>
      <w:r>
        <w:rPr>
          <w:rFonts w:ascii="Calibri" w:hAnsi="Calibri"/>
          <w:b/>
          <w:color w:val="525866"/>
          <w:sz w:val="22"/>
        </w:rPr>
        <w:t>Dupixent Continued Strong Performance in Q2 2026:</w:t>
      </w:r>
      <w:r>
        <w:rPr>
          <w:rFonts w:ascii="Calibri" w:hAnsi="Calibri"/>
          <w:color w:val="525866"/>
          <w:sz w:val="22"/>
        </w:rPr>
        <w:t xml:space="preserve"> Regeneron CFO Christopher Fenimore highlighted “continued strong performance from Dupixent” and a “very strong growth trajectory” heading into the remainder of 2026. This is a positive read-through for the overall AD market — Dupixent’s continued growth confirms robust underlying patient demand, which benefits all effective AD therapies including Opzelura. </w:t>
      </w:r>
    </w:p>
    <w:p>
      <w:pPr>
        <w:pStyle w:val="ListBullet"/>
        <w:ind w:left="360" w:hanging="360"/>
      </w:pPr>
      <w:r>
        <w:rPr>
          <w:rFonts w:ascii="Calibri" w:hAnsi="Calibri"/>
          <w:b/>
          <w:color w:val="525866"/>
          <w:sz w:val="22"/>
        </w:rPr>
        <w:t>Regeneron Focused on “Commercial Execution” for Remainder of Year:</w:t>
      </w:r>
      <w:r>
        <w:rPr>
          <w:rFonts w:ascii="Calibri" w:hAnsi="Calibri"/>
          <w:color w:val="525866"/>
          <w:sz w:val="22"/>
        </w:rPr>
        <w:t xml:space="preserve"> Fenimore stated the company will “continue to stay focused on driving that commercial execution” — signaling an aggressive commercial posture for Dupixent in H2 2026. This is a mild competitive headwind for Opzelura in the biologic-experienced patient segment, but Opzelura’s topical positioning in mild-to-moderate AD limits direct overlap. </w:t>
      </w:r>
    </w:p>
    <w:p>
      <w:pPr>
        <w:pStyle w:val="ListBullet"/>
        <w:ind w:left="360" w:hanging="360"/>
      </w:pPr>
      <w:r>
        <w:rPr>
          <w:rFonts w:ascii="Calibri" w:hAnsi="Calibri"/>
          <w:b/>
          <w:color w:val="525866"/>
          <w:sz w:val="22"/>
        </w:rPr>
        <w:t>Next-Generation Long-Acting IL-13 Antibody Entered Phase 1 (Late Q1/Early Q2 2026):</w:t>
      </w:r>
      <w:r>
        <w:rPr>
          <w:rFonts w:ascii="Calibri" w:hAnsi="Calibri"/>
          <w:color w:val="525866"/>
          <w:sz w:val="22"/>
        </w:rPr>
        <w:t xml:space="preserve"> Regeneron’s IR head Ryan Crowe noted a “long-acting IL-13 antibody went into its first patient” in late Q1 or early Q2 2026, targeting extended dosing intervals in AD. This is a longer-dated competitive signal (Phase 1 stage, years from approval) and does not affect Opzelura’s near-term commercial trajectory. </w:t>
      </w:r>
    </w:p>
    <w:p>
      <w:r>
        <w:rPr>
          <w:rFonts w:ascii="Calibri" w:hAnsi="Calibri"/>
          <w:b/>
          <w:color w:val="525866"/>
          <w:sz w:val="22"/>
        </w:rPr>
        <w:t xml:space="preserve">Important Limitations on Peer Read-Through: </w:t>
      </w:r>
      <w:r>
        <w:rPr>
          <w:rFonts w:ascii="Calibri" w:hAnsi="Calibri"/>
          <w:color w:val="525866"/>
          <w:sz w:val="22"/>
        </w:rPr>
        <w:t>None of the peer commentary above directly addresses Incyte-specific products (Opzelura, Povo, Jakafi) by name. The read-through is inferential — based on market-level dynamics in shared therapeutic areas. Dupixent (biologic, systemic) and Opzelura (topical, non-steroidal) serve partially overlapping but distinct patient populations. AbbVie’s Zoomy (anti-IL-13, targeting 2030 launch) and Rinvoq (oral JAK inhibitor, second-line) are not current-quarter competitive threats to Incyte. Investors should weight these read-throughs as market context, not direct demand signals.</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 xml:space="preserve">All insider transactions since the Q1 print are </w:t>
      </w:r>
      <w:r>
        <w:rPr>
          <w:rFonts w:ascii="Calibri" w:hAnsi="Calibri"/>
          <w:b/>
          <w:color w:val="525866"/>
          <w:sz w:val="22"/>
        </w:rPr>
        <w:t>pre-planned 10b5-1 sales</w:t>
      </w:r>
      <w:r>
        <w:rPr>
          <w:rFonts w:ascii="Calibri" w:hAnsi="Calibri"/>
          <w:color w:val="525866"/>
          <w:sz w:val="22"/>
        </w:rPr>
        <w:t xml:space="preserve"> — none are discretionary open-market sales. The Steven Stein July 15 sale (55% of holdings, ~$3.2M) is large in percentage terms but was executed under a plan established August 6, 2025, well before any of the material Q2 developments. No open-market buys. Nothing here signals insider concern about the upcoming print.</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Value</w:t>
            </w:r>
          </w:p>
        </w:tc>
        <w:tc>
          <w:tcPr>
            <w:tcW w:type="dxa" w:w="1440"/>
            <w:shd w:val="clear" w:color="auto" w:fill="3B4259"/>
          </w:tcPr>
          <w:p>
            <w:r>
              <w:rPr>
                <w:rFonts w:ascii="Calibri" w:hAnsi="Calibri"/>
                <w:b/>
                <w:color w:val="FFFFFF"/>
                <w:sz w:val="22"/>
              </w:rPr>
              <w:t>Transaction 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Steven H. Stein</w:t>
            </w:r>
          </w:p>
        </w:tc>
        <w:tc>
          <w:tcPr>
            <w:tcW w:type="dxa" w:w="1440"/>
          </w:tcPr>
          <w:p>
            <w:r>
              <w:rPr>
                <w:rFonts w:ascii="Calibri" w:hAnsi="Calibri"/>
                <w:sz w:val="22"/>
              </w:rPr>
              <w:t>CMO &amp; Head of Late-Stage Development</w:t>
            </w:r>
          </w:p>
        </w:tc>
        <w:tc>
          <w:tcPr>
            <w:tcW w:type="dxa" w:w="1440"/>
          </w:tcPr>
          <w:p>
            <w:r>
              <w:rPr>
                <w:rFonts w:ascii="Calibri" w:hAnsi="Calibri"/>
                <w:sz w:val="22"/>
              </w:rPr>
              <w:t>10b5-1 Planned Sale</w:t>
            </w:r>
          </w:p>
        </w:tc>
        <w:tc>
          <w:tcPr>
            <w:tcW w:type="dxa" w:w="1440"/>
          </w:tcPr>
          <w:p>
            <w:r>
              <w:rPr>
                <w:rFonts w:ascii="Calibri" w:hAnsi="Calibri"/>
                <w:sz w:val="22"/>
              </w:rPr>
              <w:t>~$3,192,193 (28,237 shares)</w:t>
            </w:r>
          </w:p>
        </w:tc>
        <w:tc>
          <w:tcPr>
            <w:tcW w:type="dxa" w:w="1440"/>
          </w:tcPr>
          <w:p>
            <w:r>
              <w:rPr>
                <w:rFonts w:ascii="Calibri" w:hAnsi="Calibri"/>
                <w:sz w:val="22"/>
              </w:rPr>
              <w:t>July 15, 2026</w:t>
            </w:r>
          </w:p>
        </w:tc>
        <w:tc>
          <w:tcPr>
            <w:tcW w:type="dxa" w:w="1440"/>
          </w:tcPr>
          <w:p>
            <w:r>
              <w:rPr>
                <w:rFonts w:ascii="Calibri" w:hAnsi="Calibri"/>
                <w:sz w:val="22"/>
              </w:rPr>
              <w:t>55% of holdings sold; plan established Aug 6, 2025 — pre-planned, not discretionary. Large % but routine under plan.</w:t>
            </w:r>
          </w:p>
        </w:tc>
      </w:tr>
      <w:tr>
        <w:tc>
          <w:tcPr>
            <w:tcW w:type="dxa" w:w="1440"/>
          </w:tcPr>
          <w:p>
            <w:r>
              <w:rPr>
                <w:rFonts w:ascii="Calibri" w:hAnsi="Calibri"/>
                <w:sz w:val="22"/>
              </w:rPr>
              <w:t>Steven H. Stein</w:t>
            </w:r>
          </w:p>
        </w:tc>
        <w:tc>
          <w:tcPr>
            <w:tcW w:type="dxa" w:w="1440"/>
          </w:tcPr>
          <w:p>
            <w:r>
              <w:rPr>
                <w:rFonts w:ascii="Calibri" w:hAnsi="Calibri"/>
                <w:sz w:val="22"/>
              </w:rPr>
              <w:t>CMO &amp; Head of Late-Stage Development</w:t>
            </w:r>
          </w:p>
        </w:tc>
        <w:tc>
          <w:tcPr>
            <w:tcW w:type="dxa" w:w="1440"/>
          </w:tcPr>
          <w:p>
            <w:r>
              <w:rPr>
                <w:rFonts w:ascii="Calibri" w:hAnsi="Calibri"/>
                <w:sz w:val="22"/>
              </w:rPr>
              <w:t>10b5-1 Planned Sale</w:t>
            </w:r>
          </w:p>
        </w:tc>
        <w:tc>
          <w:tcPr>
            <w:tcW w:type="dxa" w:w="1440"/>
          </w:tcPr>
          <w:p>
            <w:r>
              <w:rPr>
                <w:rFonts w:ascii="Calibri" w:hAnsi="Calibri"/>
                <w:sz w:val="22"/>
              </w:rPr>
              <w:t>~$215,348 (1,877 shares)</w:t>
            </w:r>
          </w:p>
        </w:tc>
        <w:tc>
          <w:tcPr>
            <w:tcW w:type="dxa" w:w="1440"/>
          </w:tcPr>
          <w:p>
            <w:r>
              <w:rPr>
                <w:rFonts w:ascii="Calibri" w:hAnsi="Calibri"/>
                <w:sz w:val="22"/>
              </w:rPr>
              <w:t>July 16, 2026</w:t>
            </w:r>
          </w:p>
        </w:tc>
        <w:tc>
          <w:tcPr>
            <w:tcW w:type="dxa" w:w="1440"/>
          </w:tcPr>
          <w:p>
            <w:r>
              <w:rPr>
                <w:rFonts w:ascii="Calibri" w:hAnsi="Calibri"/>
                <w:sz w:val="22"/>
              </w:rPr>
              <w:t>6% of remaining holdings; same 10b5-1 plan (est. Aug 6, 2025). Routine tranche.</w:t>
            </w:r>
          </w:p>
        </w:tc>
      </w:tr>
      <w:tr>
        <w:tc>
          <w:tcPr>
            <w:tcW w:type="dxa" w:w="1440"/>
          </w:tcPr>
          <w:p>
            <w:r>
              <w:rPr>
                <w:rFonts w:ascii="Calibri" w:hAnsi="Calibri"/>
                <w:sz w:val="22"/>
              </w:rPr>
              <w:t>Mohamed Khairie Issa</w:t>
            </w:r>
          </w:p>
        </w:tc>
        <w:tc>
          <w:tcPr>
            <w:tcW w:type="dxa" w:w="1440"/>
          </w:tcPr>
          <w:p>
            <w:r>
              <w:rPr>
                <w:rFonts w:ascii="Calibri" w:hAnsi="Calibri"/>
                <w:sz w:val="22"/>
              </w:rPr>
              <w:t>EVP, Head of U.S. Commercial</w:t>
            </w:r>
          </w:p>
        </w:tc>
        <w:tc>
          <w:tcPr>
            <w:tcW w:type="dxa" w:w="1440"/>
          </w:tcPr>
          <w:p>
            <w:r>
              <w:rPr>
                <w:rFonts w:ascii="Calibri" w:hAnsi="Calibri"/>
                <w:sz w:val="22"/>
              </w:rPr>
              <w:t>10b5-1 Planned Sale</w:t>
            </w:r>
          </w:p>
        </w:tc>
        <w:tc>
          <w:tcPr>
            <w:tcW w:type="dxa" w:w="1440"/>
          </w:tcPr>
          <w:p>
            <w:r>
              <w:rPr>
                <w:rFonts w:ascii="Calibri" w:hAnsi="Calibri"/>
                <w:sz w:val="22"/>
              </w:rPr>
              <w:t>~$125,706 (1,093 shares)</w:t>
            </w:r>
          </w:p>
        </w:tc>
        <w:tc>
          <w:tcPr>
            <w:tcW w:type="dxa" w:w="1440"/>
          </w:tcPr>
          <w:p>
            <w:r>
              <w:rPr>
                <w:rFonts w:ascii="Calibri" w:hAnsi="Calibri"/>
                <w:sz w:val="22"/>
              </w:rPr>
              <w:t>July 16, 2026</w:t>
            </w:r>
          </w:p>
        </w:tc>
        <w:tc>
          <w:tcPr>
            <w:tcW w:type="dxa" w:w="1440"/>
          </w:tcPr>
          <w:p>
            <w:r>
              <w:rPr>
                <w:rFonts w:ascii="Calibri" w:hAnsi="Calibri"/>
                <w:sz w:val="22"/>
              </w:rPr>
              <w:t>1% of holdings; plan established Sep 15, 2025. Routine, small tranche.</w:t>
            </w:r>
          </w:p>
        </w:tc>
      </w:tr>
      <w:tr>
        <w:tc>
          <w:tcPr>
            <w:tcW w:type="dxa" w:w="1440"/>
          </w:tcPr>
          <w:p>
            <w:r>
              <w:rPr>
                <w:rFonts w:ascii="Calibri" w:hAnsi="Calibri"/>
                <w:sz w:val="22"/>
              </w:rPr>
              <w:t>Thomas Tray</w:t>
            </w:r>
          </w:p>
        </w:tc>
        <w:tc>
          <w:tcPr>
            <w:tcW w:type="dxa" w:w="1440"/>
          </w:tcPr>
          <w:p>
            <w:r>
              <w:rPr>
                <w:rFonts w:ascii="Calibri" w:hAnsi="Calibri"/>
                <w:sz w:val="22"/>
              </w:rPr>
              <w:t>Principal Accounting Officer</w:t>
            </w:r>
          </w:p>
        </w:tc>
        <w:tc>
          <w:tcPr>
            <w:tcW w:type="dxa" w:w="1440"/>
          </w:tcPr>
          <w:p>
            <w:r>
              <w:rPr>
                <w:rFonts w:ascii="Calibri" w:hAnsi="Calibri"/>
                <w:sz w:val="22"/>
              </w:rPr>
              <w:t>10b5-1 Planned Sale</w:t>
            </w:r>
          </w:p>
        </w:tc>
        <w:tc>
          <w:tcPr>
            <w:tcW w:type="dxa" w:w="1440"/>
          </w:tcPr>
          <w:p>
            <w:r>
              <w:rPr>
                <w:rFonts w:ascii="Calibri" w:hAnsi="Calibri"/>
                <w:sz w:val="22"/>
              </w:rPr>
              <w:t>~N/A (2,051 shares)</w:t>
            </w:r>
          </w:p>
        </w:tc>
        <w:tc>
          <w:tcPr>
            <w:tcW w:type="dxa" w:w="1440"/>
          </w:tcPr>
          <w:p>
            <w:r>
              <w:rPr>
                <w:rFonts w:ascii="Calibri" w:hAnsi="Calibri"/>
                <w:sz w:val="22"/>
              </w:rPr>
              <w:t>May 26, 2026</w:t>
            </w:r>
          </w:p>
        </w:tc>
        <w:tc>
          <w:tcPr>
            <w:tcW w:type="dxa" w:w="1440"/>
          </w:tcPr>
          <w:p>
            <w:r>
              <w:rPr>
                <w:rFonts w:ascii="Calibri" w:hAnsi="Calibri"/>
                <w:sz w:val="22"/>
              </w:rPr>
              <w:t>Routine planned sale; no discretionary signal.</w:t>
            </w:r>
          </w:p>
        </w:tc>
      </w:tr>
    </w:tbl>
    <w:p>
      <w:r>
        <w:rPr>
          <w:rFonts w:ascii="Calibri" w:hAnsi="Calibri"/>
          <w:color w:val="525866"/>
          <w:sz w:val="22"/>
        </w:rPr>
        <w:t>All transactions are 10b5-1 pre-planned sales (Form 4 code S, overall_10b5 = True). No open-market discretionary buys or sells were filed in the period. The Stein July 15 sale (55% of holdings) is notable in size but was established under a plan dated August 6, 2025 — approximately 11 months before execution and well before the CMS settlement, VGA039 acquisition, or any Q2 2026 developments. No insider activity signals concern about the upcoming print. Source: Insider Transaction Data (SEC Form 4 Filings).</w:t>
      </w:r>
    </w:p>
    <w:p>
      <w:r>
        <w:br w:type="page"/>
      </w:r>
    </w:p>
    <w:p>
      <w:pPr>
        <w:pStyle w:val="Heading2"/>
      </w:pPr>
      <w:r>
        <w:rPr>
          <w:rFonts w:ascii="Calibri" w:hAnsi="Calibri"/>
          <w:b/>
          <w:color w:val="3B4259"/>
          <w:sz w:val="28"/>
        </w:rPr>
        <w:t>Appendix — Key Risks to Watch</w:t>
      </w:r>
    </w:p>
    <w:p>
      <w:pPr>
        <w:pStyle w:val="ListBullet"/>
        <w:ind w:left="360" w:hanging="360"/>
      </w:pPr>
      <w:r>
        <w:rPr>
          <w:rFonts w:ascii="Calibri" w:hAnsi="Calibri"/>
          <w:b/>
          <w:color w:val="525866"/>
          <w:sz w:val="22"/>
        </w:rPr>
        <w:t>CMS Benefit Treatment:</w:t>
      </w:r>
      <w:r>
        <w:rPr>
          <w:rFonts w:ascii="Calibri" w:hAnsi="Calibri"/>
          <w:color w:val="525866"/>
          <w:sz w:val="22"/>
        </w:rPr>
        <w:t xml:space="preserve"> If management frames the ~$246M non-cash benefit as a one-time item and resets Opzelura guidance conservatively, the stock could give back some of the post-settlement rally.</w:t>
      </w:r>
    </w:p>
    <w:p>
      <w:pPr>
        <w:pStyle w:val="ListBullet"/>
        <w:ind w:left="360" w:hanging="360"/>
      </w:pPr>
      <w:r>
        <w:rPr>
          <w:rFonts w:ascii="Calibri" w:hAnsi="Calibri"/>
          <w:b/>
          <w:color w:val="525866"/>
          <w:sz w:val="22"/>
        </w:rPr>
        <w:t>Jakafi XR Formulary Conversion Rate:</w:t>
      </w:r>
      <w:r>
        <w:rPr>
          <w:rFonts w:ascii="Calibri" w:hAnsi="Calibri"/>
          <w:color w:val="525866"/>
          <w:sz w:val="22"/>
        </w:rPr>
        <w:t xml:space="preserve"> Any commentary suggesting conversion is tracking below the 1–1.5 points/month target needed by January 2027 would be a negative signal for the LOE bridge thesis.</w:t>
      </w:r>
    </w:p>
    <w:p>
      <w:pPr>
        <w:pStyle w:val="ListBullet"/>
        <w:ind w:left="360" w:hanging="360"/>
      </w:pPr>
      <w:r>
        <w:rPr>
          <w:rFonts w:ascii="Calibri" w:hAnsi="Calibri"/>
          <w:b/>
          <w:color w:val="525866"/>
          <w:sz w:val="22"/>
        </w:rPr>
        <w:t>JAK2 V617F Program (INCB160058):</w:t>
      </w:r>
      <w:r>
        <w:rPr>
          <w:rFonts w:ascii="Calibri" w:hAnsi="Calibri"/>
          <w:color w:val="525866"/>
          <w:sz w:val="22"/>
        </w:rPr>
        <w:t xml:space="preserve"> Management has flagged data “not trending in the desired direction” — any formal program termination announcement would be a modest negative, though the market has largely discounted this asset.</w:t>
      </w:r>
    </w:p>
    <w:p>
      <w:pPr>
        <w:pStyle w:val="ListBullet"/>
        <w:ind w:left="360" w:hanging="360"/>
      </w:pPr>
      <w:r>
        <w:rPr>
          <w:rFonts w:ascii="Calibri" w:hAnsi="Calibri"/>
          <w:b/>
          <w:color w:val="525866"/>
          <w:sz w:val="22"/>
        </w:rPr>
        <w:t>VGA039 R&amp;D Charge Guidance:</w:t>
      </w:r>
      <w:r>
        <w:rPr>
          <w:rFonts w:ascii="Calibri" w:hAnsi="Calibri"/>
          <w:color w:val="525866"/>
          <w:sz w:val="22"/>
        </w:rPr>
        <w:t xml:space="preserve"> The ~$1.25B Q3 2026 R&amp;D charge from the VGA039 acquisition will significantly impact GAAP and non-GAAP EPS for the full year. How management frames the updated FY 2026 EPS guidance will be closely watched.</w:t>
      </w:r>
    </w:p>
    <w:p>
      <w:pPr>
        <w:pStyle w:val="ListBullet"/>
        <w:ind w:left="360" w:hanging="360"/>
      </w:pPr>
      <w:r>
        <w:rPr>
          <w:rFonts w:ascii="Calibri" w:hAnsi="Calibri"/>
          <w:b/>
          <w:color w:val="525866"/>
          <w:sz w:val="22"/>
        </w:rPr>
        <w:t>989 (mCALR) MF Regulatory Endpoint:</w:t>
      </w:r>
      <w:r>
        <w:rPr>
          <w:rFonts w:ascii="Calibri" w:hAnsi="Calibri"/>
          <w:color w:val="525866"/>
          <w:sz w:val="22"/>
        </w:rPr>
        <w:t xml:space="preserve"> Management expected FDA alignment on a composite MF endpoint “a little after the middle of the year” — any update on this discussion (positive or negative) on the Q2 call would be a significant pipeline catalyst.</w:t>
      </w:r>
    </w:p>
    <w:p>
      <w:pPr>
        <w:pStyle w:val="ListBullet"/>
        <w:ind w:left="360" w:hanging="360"/>
      </w:pPr>
      <w:r>
        <w:rPr>
          <w:rFonts w:ascii="Calibri" w:hAnsi="Calibri"/>
          <w:b/>
          <w:color w:val="525866"/>
          <w:sz w:val="22"/>
        </w:rPr>
        <w:t>Opzelura EU AD Launch Timing:</w:t>
      </w:r>
      <w:r>
        <w:rPr>
          <w:rFonts w:ascii="Calibri" w:hAnsi="Calibri"/>
          <w:color w:val="525866"/>
          <w:sz w:val="22"/>
        </w:rPr>
        <w:t xml:space="preserve"> Regulatory decision expected H2 2026 — any delay would push out the $200–300M incremental international revenue opportunity.</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