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invh-earnings-predictions--2026-07-29"/>
    <w:p>
      <w:pPr>
        <w:pStyle w:val="Heading1"/>
      </w:pPr>
      <w:r>
        <w:t xml:space="preserve">INVH Earnings Predictions — 2026-07-29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INVH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Core FFO / share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~$0.48 vs. cons $0.48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INVH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Same-Store NOI growth (YoY)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~+0.8% vs. cons ~+1.0%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INVH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Blended lease rate / SS revenue growth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blended ~+2.0% vs. cons ~+2.8% (SS rev pred ~+1.6% vs cons ~+2.0%)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INVH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Core FFO/share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reaffirm</w:t>
            </w:r>
            <w:r>
              <w:t xml:space="preserve"> </w:t>
            </w:r>
            <m:oMath>
              <m:r>
                <m:t>1.90</m:t>
              </m:r>
              <m:r>
                <m:rPr>
                  <m:sty m:val="p"/>
                </m:rPr>
                <m:t>–</m:t>
              </m:r>
            </m:oMath>
            <w:r>
              <w:t xml:space="preserve">1.98 (mid $1.94) vs. cons $1.94 (FY26)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INVH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SS NOI growth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reaffirm 0.3%–2.0% (mid ~1.15%) vs. cons ~1.2% (FY26)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INVH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SS Core Revenue growth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likely trimmed toward ~1.3%–2.0% (mid ~1.7%) vs. cons ~1.9% (FY26)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INVH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dispositions / buyback pace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dispositions ~$600M+ vs. cons/plan</w:t>
            </w:r>
            <w:r>
              <w:t xml:space="preserve"> </w:t>
            </w:r>
            <m:oMath>
              <m:r>
                <m:t>550</m:t>
              </m:r>
              <m:r>
                <m:t>M</m:t>
              </m:r>
              <m:r>
                <m:rPr>
                  <m:sty m:val="p"/>
                </m:rPr>
                <m:t>;</m:t>
              </m:r>
              <m:r>
                <m:t>b</m:t>
              </m:r>
              <m:r>
                <m:t>u</m:t>
              </m:r>
              <m:r>
                <m:t>y</m:t>
              </m:r>
              <m:r>
                <m:t>b</m:t>
              </m:r>
              <m:r>
                <m:t>a</m:t>
              </m:r>
              <m:r>
                <m:t>c</m:t>
              </m:r>
              <m:r>
                <m:t>k</m:t>
              </m:r>
              <m:r>
                <m:t>d</m:t>
              </m:r>
              <m:r>
                <m:t>e</m:t>
              </m:r>
              <m:r>
                <m:t>p</m:t>
              </m:r>
              <m:r>
                <m:t>l</m:t>
              </m:r>
              <m:r>
                <m:t>o</m:t>
              </m:r>
              <m:r>
                <m:t>y</m:t>
              </m:r>
              <m:r>
                <m:t>e</m:t>
              </m:r>
              <m:r>
                <m:t>d</m:t>
              </m:r>
              <m:r>
                <m:t> </m:t>
              </m:r>
            </m:oMath>
            <w:r>
              <w:t xml:space="preserve">150M+ of new $500M (FY26)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INVH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Occupancy durability (peak-season)</w:t>
            </w:r>
          </w:p>
        </w:tc>
        <w:tc>
          <w:tcPr/>
          <w:p>
            <w:pPr>
              <w:pStyle w:val="Compact"/>
            </w:pPr>
            <w:r>
              <w:t xml:space="preserve">UNKNOWN</w:t>
            </w:r>
          </w:p>
        </w:tc>
        <w:tc>
          <w:tcPr/>
          <w:p>
            <w:pPr>
              <w:pStyle w:val="Compact"/>
            </w:pPr>
            <w:r>
              <w:t xml:space="preserve">pred Q2 avg occ ~96.7% vs. Q2'25 comp 97.2%; sustain vs fade is swing factor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INVH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-1.5%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INVH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-2.5% (FOLLOW-THROUGH)</w:t>
            </w:r>
          </w:p>
        </w:tc>
        <w:tc>
          <w:tcPr/>
          <w:p>
            <w:pPr>
              <w:pStyle w:val="Compact"/>
            </w:pPr>
            <w:r>
              <w:t xml:space="preserve">Stock ran from ~$28 to $30 into the print, leaving little cushion. A reaffirm-not-raise outcome against tougher Q2'25 comps (97.2% occ, +4.0% blended) plus soft Sunbelt new-lease pricing reads as conservative; holding a $1.94 FFO midpoint while 1H tracks in-line implies flat-to-lower 2H run-rate, so out-period math pulls SS revenue/NOI estimates down even if headline FFO is in-line. Disposition/buyback arbitrage cushions but is 'not hugely material,' so the negative day-1 reaction extends rather than reverses.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2026-07-29T01:59:55Z</dcterms:created>
  <dcterms:modified xsi:type="dcterms:W3CDTF">2026-07-29T01:59:55Z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