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INVH (Invitation Homes) before writing the preview. Let me gather recent earnings materials, guidance, and news.Let me read the most recent quarter's earnings release and call transcript.I have strong Q1 2026 detail. Let me check recent stock price performance and any recent news/analyst activity.Let me pull the year-ago Q2 2025 release for the comparison base (what INVH reports against tomorrow).I now have what I need. Here's the earnings preview.</w:t>
      </w:r>
    </w:p>
    <w:bookmarkStart w:id="18" w:name="X9b27462690f981d6ea0e7f72815beb6feb20aed"/>
    <w:p>
      <w:pPr>
        <w:pStyle w:val="Heading1"/>
      </w:pPr>
      <w:r>
        <w:t xml:space="preserve">Invitation Homes (INVH) — Q2 2026 Earnings Preview</w:t>
      </w:r>
    </w:p>
    <w:bookmarkStart w:id="9" w:name="Xf04baffd7baad66c23d0ba20ba1751185136220"/>
    <w:p>
      <w:pPr>
        <w:pStyle w:val="Heading3"/>
      </w:pPr>
      <w:r>
        <w:t xml:space="preserve">Reports after market close Tuesday, July 28, 2026 · Call Wednesday, July 29 at 11:00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INVH heads into Q2 with</w:t>
      </w:r>
      <w:r>
        <w:t xml:space="preserve"> </w:t>
      </w:r>
      <w:r>
        <w:rPr>
          <w:b/>
          <w:bCs/>
        </w:rPr>
        <w:t xml:space="preserve">improving leasing momentum but tough year-ago comps</w:t>
      </w:r>
      <w:r>
        <w:t xml:space="preserve">, an unchanged full-year outlook that management explicitly said it would revisit "once the majority of peak leasing season is behind us," and a stock that has round-tripped from ~</w:t>
      </w:r>
      <m:oMath>
        <m:r>
          <m:t>25</m:t>
        </m:r>
        <m:r>
          <m:t>i</m:t>
        </m:r>
        <m:r>
          <m:t>n</m:t>
        </m:r>
        <m:r>
          <m:t>M</m:t>
        </m:r>
        <m:r>
          <m:t>a</m:t>
        </m:r>
        <m:r>
          <m:t>r</m:t>
        </m:r>
        <m:r>
          <m:t>c</m:t>
        </m:r>
        <m:r>
          <m:t>h</m:t>
        </m:r>
        <m:r>
          <m:t>b</m:t>
        </m:r>
        <m:r>
          <m:t>a</m:t>
        </m:r>
        <m:r>
          <m:t>c</m:t>
        </m:r>
        <m:r>
          <m:t>k</m:t>
        </m:r>
        <m:r>
          <m:t>t</m:t>
        </m:r>
        <m:r>
          <m:t>o</m:t>
        </m:r>
        <m:r>
          <m:t> </m:t>
        </m:r>
      </m:oMath>
      <w:r>
        <w:t xml:space="preserve">30 — still low enough that the company is selling homes and buying back its own shares. The Q2 print is the first real read on whether the spring/summer inflection is holding, and it is the most likely catalyst for a</w:t>
      </w:r>
      <w:r>
        <w:t xml:space="preserve"> </w:t>
      </w:r>
      <w:r>
        <w:rPr>
          <w:b/>
          <w:bCs/>
        </w:rPr>
        <w:t xml:space="preserve">guidance revision</w:t>
      </w:r>
      <w:r>
        <w:t xml:space="preserve"> </w:t>
      </w:r>
      <w:r>
        <w:t xml:space="preserve">this year.</w:t>
      </w:r>
    </w:p>
    <w:p>
      <w:r>
        <w:pict>
          <v:rect style="width:0;height:1.5pt" o:hralign="center" o:hrstd="t" o:hr="t"/>
        </w:pict>
      </w:r>
    </w:p>
    <w:bookmarkEnd w:id="10"/>
    <w:bookmarkStart w:id="11" w:name="where-the-stock-sits"/>
    <w:p>
      <w:pPr>
        <w:pStyle w:val="Heading2"/>
      </w:pPr>
      <w:r>
        <w:t xml:space="preserve">Where the stock sits</w:t>
      </w:r>
    </w:p>
    <w:p>
      <w:pPr>
        <w:pStyle w:val="Compact"/>
        <w:numPr>
          <w:ilvl w:val="0"/>
          <w:numId w:val="1001"/>
        </w:numPr>
      </w:pPr>
      <w:r>
        <w:t xml:space="preserve">INVH closed at **</w:t>
      </w:r>
      <m:oMath>
        <m:r>
          <m:t>30.06</m:t>
        </m:r>
        <m:r>
          <m:t>o</m:t>
        </m:r>
        <m:r>
          <m:t>n</m:t>
        </m:r>
        <m:r>
          <m:t>7</m:t>
        </m:r>
        <m:r>
          <m:rPr>
            <m:sty m:val="p"/>
          </m:rPr>
          <m:t>/</m:t>
        </m:r>
        <m:r>
          <m:t>28</m:t>
        </m:r>
        <m:r>
          <m:rPr>
            <m:sty m:val="p"/>
          </m:rPr>
          <m:t>/</m:t>
        </m:r>
        <m:r>
          <m:t>2026</m:t>
        </m:r>
        <m:r>
          <m:rPr>
            <m:sty m:val="p"/>
          </m:rPr>
          <m:t>*</m:t>
        </m:r>
        <m:r>
          <m:rPr>
            <m:sty m:val="p"/>
          </m:rPr>
          <m:t>*</m:t>
        </m:r>
        <m:r>
          <m:rPr>
            <m:sty m:val="p"/>
          </m:rPr>
          <m:t>,</m:t>
        </m:r>
        <m:r>
          <m:t>u</m:t>
        </m:r>
        <m:r>
          <m:t>p</m:t>
        </m:r>
        <m:r>
          <m:t>s</m:t>
        </m:r>
        <m:r>
          <m:t>h</m:t>
        </m:r>
        <m:r>
          <m:t>a</m:t>
        </m:r>
        <m:r>
          <m:t>r</m:t>
        </m:r>
        <m:r>
          <m:t>p</m:t>
        </m:r>
        <m:r>
          <m:t>l</m:t>
        </m:r>
        <m:r>
          <m:t>y</m:t>
        </m:r>
        <m:r>
          <m:t>o</m:t>
        </m:r>
        <m:r>
          <m:t>f</m:t>
        </m:r>
        <m:r>
          <m:t>f</m:t>
        </m:r>
        <m:r>
          <m:t>t</m:t>
        </m:r>
        <m:r>
          <m:t>h</m:t>
        </m:r>
        <m:r>
          <m:t>e</m:t>
        </m:r>
        <m:r>
          <m:t>M</m:t>
        </m:r>
        <m:r>
          <m:t>a</m:t>
        </m:r>
        <m:r>
          <m:t>r</m:t>
        </m:r>
        <m:r>
          <m:t>c</m:t>
        </m:r>
        <m:r>
          <m:t>h</m:t>
        </m:r>
        <m:r>
          <m:t>l</m:t>
        </m:r>
        <m:r>
          <m:t>o</m:t>
        </m:r>
        <m:r>
          <m:t>w</m:t>
        </m:r>
        <m:r>
          <m:t>n</m:t>
        </m:r>
        <m:r>
          <m:t>e</m:t>
        </m:r>
        <m:r>
          <m:t>a</m:t>
        </m:r>
        <m:r>
          <m:t>r</m:t>
        </m:r>
        <m:r>
          <m:t> </m:t>
        </m:r>
      </m:oMath>
      <w:r>
        <w:t xml:space="preserve">24.39 but still **down ~8% from ~</w:t>
      </w:r>
      <m:oMath>
        <m:r>
          <m:t>32.78</m:t>
        </m:r>
        <m:r>
          <m:t>a</m:t>
        </m:r>
        <m:r>
          <m:t>y</m:t>
        </m:r>
        <m:r>
          <m:t>e</m:t>
        </m:r>
        <m:r>
          <m:t>a</m:t>
        </m:r>
        <m:r>
          <m:t>r</m:t>
        </m:r>
        <m:r>
          <m:t>a</m:t>
        </m:r>
        <m:r>
          <m:t>g</m:t>
        </m:r>
        <m:r>
          <m:t>o</m:t>
        </m:r>
        <m:r>
          <m:rPr>
            <m:sty m:val="p"/>
          </m:rPr>
          <m:t>*</m:t>
        </m:r>
        <m:r>
          <m:rPr>
            <m:sty m:val="p"/>
          </m:rPr>
          <m:t>*</m:t>
        </m:r>
        <m:r>
          <m:rPr>
            <m:sty m:val="p"/>
          </m:rPr>
          <m:t>.</m:t>
        </m:r>
        <m:r>
          <m:t>P</m:t>
        </m:r>
        <m:r>
          <m:t>e</m:t>
        </m:r>
        <m:r>
          <m:t>e</m:t>
        </m:r>
        <m:r>
          <m:t>r</m:t>
        </m:r>
        <m:r>
          <m:t>A</m:t>
        </m:r>
        <m:r>
          <m:t>M</m:t>
        </m:r>
        <m:r>
          <m:t>H</m:t>
        </m:r>
        <m:r>
          <m:t>h</m:t>
        </m:r>
        <m:r>
          <m:t>a</m:t>
        </m:r>
        <m:r>
          <m:t>s</m:t>
        </m:r>
        <m:r>
          <m:t>f</m:t>
        </m:r>
        <m:r>
          <m:t>o</m:t>
        </m:r>
        <m:r>
          <m:t>l</m:t>
        </m:r>
        <m:r>
          <m:t>l</m:t>
        </m:r>
        <m:r>
          <m:t>o</m:t>
        </m:r>
        <m:r>
          <m:t>w</m:t>
        </m:r>
        <m:r>
          <m:t>e</m:t>
        </m:r>
        <m:r>
          <m:t>d</m:t>
        </m:r>
        <m:r>
          <m:t>a</m:t>
        </m:r>
        <m:r>
          <m:t>s</m:t>
        </m:r>
        <m:r>
          <m:t>i</m:t>
        </m:r>
        <m:r>
          <m:t>m</m:t>
        </m:r>
        <m:r>
          <m:t>i</m:t>
        </m:r>
        <m:r>
          <m:t>l</m:t>
        </m:r>
        <m:r>
          <m:t>a</m:t>
        </m:r>
        <m:r>
          <m:t>r</m:t>
        </m:r>
        <m:r>
          <m:t>p</m:t>
        </m:r>
        <m:r>
          <m:t>a</m:t>
        </m:r>
        <m:r>
          <m:t>t</m:t>
        </m:r>
        <m:r>
          <m:t>h</m:t>
        </m:r>
        <m:r>
          <m:rPr>
            <m:sty m:val="p"/>
          </m:rPr>
          <m:t>(</m:t>
        </m:r>
        <m:r>
          <m:t> </m:t>
        </m:r>
      </m:oMath>
      <w:r>
        <w:t xml:space="preserve">33.79 vs ~$35.74).</w:t>
      </w:r>
    </w:p>
    <w:p>
      <w:pPr>
        <w:pStyle w:val="Compact"/>
        <w:numPr>
          <w:ilvl w:val="0"/>
          <w:numId w:val="1001"/>
        </w:numPr>
      </w:pPr>
      <w:r>
        <w:t xml:space="preserve">The recovery since April earnings (~$28) has been steady but the shares remain below where management pegs intrinsic value — a recurring theme in the capital-allocation story below.</w:t>
      </w:r>
    </w:p>
    <w:p>
      <w:pPr>
        <w:pStyle w:val="Compact"/>
        <w:numPr>
          <w:ilvl w:val="0"/>
          <w:numId w:val="1001"/>
        </w:numPr>
      </w:pPr>
      <w:r>
        <w:t xml:space="preserve">Quarterly dividend was raised to</w:t>
      </w:r>
      <w:r>
        <w:t xml:space="preserve"> </w:t>
      </w:r>
      <w:r>
        <w:rPr>
          <w:b/>
          <w:bCs/>
        </w:rPr>
        <w:t xml:space="preserve">$0.30/share</w:t>
      </w:r>
      <w:r>
        <w:t xml:space="preserve"> </w:t>
      </w:r>
      <w:r>
        <w:t xml:space="preserve">(from $0.29), a ~3% bump.</w:t>
      </w:r>
    </w:p>
    <w:p>
      <w:r>
        <w:pict>
          <v:rect style="width:0;height:1.5pt" o:hralign="center" o:hrstd="t" o:hr="t"/>
        </w:pict>
      </w:r>
    </w:p>
    <w:bookmarkEnd w:id="11"/>
    <w:bookmarkStart w:id="12" w:name="what-matters-most-the-guidance-decision"/>
    <w:p>
      <w:pPr>
        <w:pStyle w:val="Heading2"/>
      </w:pPr>
      <w:r>
        <w:t xml:space="preserve">What matters most: the guidance decision</w:t>
      </w:r>
    </w:p>
    <w:p>
      <w:pPr>
        <w:pStyle w:val="FirstParagraph"/>
      </w:pPr>
      <w:r>
        <w:t xml:space="preserve">Management held FY26 guidance at Q1 and flagged that Q2 would be the moment to reassess. Current full-year framework: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FY26 Range</w:t>
            </w:r>
          </w:p>
        </w:tc>
        <w:tc>
          <w:tcPr/>
          <w:p>
            <w:pPr>
              <w:pStyle w:val="Compact"/>
            </w:pPr>
            <w:r>
              <w:t xml:space="preserve">Midpoint</w:t>
            </w:r>
          </w:p>
        </w:tc>
      </w:tr>
      <w:tr>
        <w:tc>
          <w:tcPr/>
          <w:p>
            <w:pPr>
              <w:pStyle w:val="Compact"/>
            </w:pPr>
            <w:r>
              <w:t xml:space="preserve">Core FFO/share</w:t>
            </w:r>
          </w:p>
        </w:tc>
        <w:tc>
          <w:tcPr/>
          <w:p>
            <w:pPr>
              <w:pStyle w:val="Compact"/>
            </w:pPr>
            <w:r>
              <w:t xml:space="preserve">$1.90 – $1.98</w:t>
            </w:r>
          </w:p>
        </w:tc>
        <w:tc>
          <w:tcPr/>
          <w:p>
            <w:pPr>
              <w:pStyle w:val="Compact"/>
            </w:pPr>
            <w:r>
              <w:rPr>
                <w:b/>
                <w:bCs/>
              </w:rPr>
              <w:t xml:space="preserve">$1.94</w:t>
            </w:r>
          </w:p>
        </w:tc>
      </w:tr>
      <w:tr>
        <w:tc>
          <w:tcPr/>
          <w:p>
            <w:pPr>
              <w:pStyle w:val="Compact"/>
            </w:pPr>
            <w:r>
              <w:t xml:space="preserve">AFFO/share</w:t>
            </w:r>
          </w:p>
        </w:tc>
        <w:tc>
          <w:tcPr/>
          <w:p>
            <w:pPr>
              <w:pStyle w:val="Compact"/>
            </w:pPr>
            <w:r>
              <w:t xml:space="preserve">$1.60 – $1.68</w:t>
            </w:r>
          </w:p>
        </w:tc>
        <w:tc>
          <w:tcPr/>
          <w:p>
            <w:pPr>
              <w:pStyle w:val="Compact"/>
            </w:pPr>
            <w:r>
              <w:t xml:space="preserve">$1.64</w:t>
            </w:r>
          </w:p>
        </w:tc>
      </w:tr>
      <w:tr>
        <w:tc>
          <w:tcPr/>
          <w:p>
            <w:pPr>
              <w:pStyle w:val="Compact"/>
            </w:pPr>
            <w:r>
              <w:t xml:space="preserve">SS Core Revenue growth</w:t>
            </w:r>
          </w:p>
        </w:tc>
        <w:tc>
          <w:tcPr/>
          <w:p>
            <w:pPr>
              <w:pStyle w:val="Compact"/>
            </w:pPr>
            <w:r>
              <w:t xml:space="preserve">1.3% – 2.5%</w:t>
            </w:r>
          </w:p>
        </w:tc>
        <w:tc>
          <w:tcPr/>
          <w:p>
            <w:pPr>
              <w:pStyle w:val="Compact"/>
            </w:pPr>
            <w:r>
              <w:t xml:space="preserve">1.9%</w:t>
            </w:r>
          </w:p>
        </w:tc>
      </w:tr>
      <w:tr>
        <w:tc>
          <w:tcPr/>
          <w:p>
            <w:pPr>
              <w:pStyle w:val="Compact"/>
            </w:pPr>
            <w:r>
              <w:t xml:space="preserve">SS Core Opex growth</w:t>
            </w:r>
          </w:p>
        </w:tc>
        <w:tc>
          <w:tcPr/>
          <w:p>
            <w:pPr>
              <w:pStyle w:val="Compact"/>
            </w:pPr>
            <w:r>
              <w:t xml:space="preserve">3.0% – 4.0%</w:t>
            </w:r>
          </w:p>
        </w:tc>
        <w:tc>
          <w:tcPr/>
          <w:p>
            <w:pPr>
              <w:pStyle w:val="Compact"/>
            </w:pPr>
            <w:r>
              <w:t xml:space="preserve">3.5%</w:t>
            </w:r>
          </w:p>
        </w:tc>
      </w:tr>
      <w:tr>
        <w:tc>
          <w:tcPr/>
          <w:p>
            <w:pPr>
              <w:pStyle w:val="Compact"/>
            </w:pPr>
            <w:r>
              <w:t xml:space="preserve">SS NOI growth</w:t>
            </w:r>
          </w:p>
        </w:tc>
        <w:tc>
          <w:tcPr/>
          <w:p>
            <w:pPr>
              <w:pStyle w:val="Compact"/>
            </w:pPr>
            <w:r>
              <w:t xml:space="preserve">0.3% – 2.0%</w:t>
            </w:r>
          </w:p>
        </w:tc>
        <w:tc>
          <w:tcPr/>
          <w:p>
            <w:pPr>
              <w:pStyle w:val="Compact"/>
            </w:pPr>
            <w:r>
              <w:t xml:space="preserve">1.15%</w:t>
            </w:r>
          </w:p>
        </w:tc>
      </w:tr>
      <w:tr>
        <w:tc>
          <w:tcPr/>
          <w:p>
            <w:pPr>
              <w:pStyle w:val="Compact"/>
            </w:pPr>
            <w:r>
              <w:t xml:space="preserve">Wholly-owned dispositions</w:t>
            </w:r>
          </w:p>
        </w:tc>
        <w:tc>
          <w:tcPr/>
          <w:p>
            <w:pPr>
              <w:pStyle w:val="Compact"/>
            </w:pPr>
            <w:r>
              <w:t xml:space="preserve">$450 – $650M</w:t>
            </w:r>
          </w:p>
        </w:tc>
        <w:tc>
          <w:tcPr/>
          <w:p>
            <w:pPr>
              <w:pStyle w:val="Compact"/>
            </w:pPr>
            <w:r>
              <w:t xml:space="preserve">$550M</w:t>
            </w:r>
          </w:p>
        </w:tc>
      </w:tr>
      <w:tr>
        <w:tc>
          <w:tcPr/>
          <w:p>
            <w:pPr>
              <w:pStyle w:val="Compact"/>
            </w:pPr>
            <w:r>
              <w:t xml:space="preserve">Wholly-owned acquisitions</w:t>
            </w:r>
          </w:p>
        </w:tc>
        <w:tc>
          <w:tcPr/>
          <w:p>
            <w:pPr>
              <w:pStyle w:val="Compact"/>
            </w:pPr>
            <w:r>
              <w:t xml:space="preserve">$150 – $350M</w:t>
            </w:r>
          </w:p>
        </w:tc>
        <w:tc>
          <w:tcPr/>
          <w:p>
            <w:pPr>
              <w:pStyle w:val="Compact"/>
            </w:pPr>
            <w:r>
              <w:t xml:space="preserve">$250M</w:t>
            </w:r>
          </w:p>
        </w:tc>
      </w:tr>
    </w:tbl>
    <w:p>
      <w:pPr>
        <w:pStyle w:val="BodyText"/>
      </w:pPr>
      <w:r>
        <w:rPr>
          <w:b/>
          <w:bCs/>
        </w:rPr>
        <w:t xml:space="preserve">Watch for:</w:t>
      </w:r>
      <w:r>
        <w:t xml:space="preserve"> </w:t>
      </w:r>
      <w:r>
        <w:t xml:space="preserve">whether they raise, trim, or simply narrow. The arrows heading in are mixed-to-positive — dispositions are running well ahead of plan, the insurance renewal came in favorable (~$2M better than the original midpoint), and the aggressive buyback is modestly accretive. But CFO Jon Olsen was deliberately cautious, noting the buyback benefit is "not hugely material," that operating trends are tracking "right where we expected," and that recent years have seen leasing patterns fade in the back half. A modest raise or a range-narrowing toward the upper end would be the bull outcome; a reaffirmation would read as conservative given the disposition upside.</w:t>
      </w:r>
    </w:p>
    <w:p>
      <w:r>
        <w:pict>
          <v:rect style="width:0;height:1.5pt" o:hralign="center" o:hrstd="t" o:hr="t"/>
        </w:pict>
      </w:r>
    </w:p>
    <w:bookmarkEnd w:id="12"/>
    <w:bookmarkStart w:id="13" w:name="X9abfb46729d25d096afbc15038b4200656ee816"/>
    <w:p>
      <w:pPr>
        <w:pStyle w:val="Heading2"/>
      </w:pPr>
      <w:r>
        <w:t xml:space="preserve">Key metrics vs. the year-ago bar (what they're lapping)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Q1'26 (last reported)</w:t>
            </w:r>
          </w:p>
        </w:tc>
        <w:tc>
          <w:tcPr/>
          <w:p>
            <w:pPr>
              <w:pStyle w:val="Compact"/>
            </w:pPr>
            <w:r>
              <w:rPr>
                <w:b/>
                <w:bCs/>
              </w:rPr>
              <w:t xml:space="preserve">Q2'25 (comp)</w:t>
            </w:r>
          </w:p>
        </w:tc>
        <w:tc>
          <w:tcPr/>
          <w:p>
            <w:pPr>
              <w:pStyle w:val="Compact"/>
            </w:pPr>
            <w:r>
              <w:t xml:space="preserve">April'26 read</w:t>
            </w:r>
          </w:p>
        </w:tc>
      </w:tr>
      <w:tr>
        <w:tc>
          <w:tcPr/>
          <w:p>
            <w:pPr>
              <w:pStyle w:val="Compact"/>
            </w:pPr>
            <w:r>
              <w:t xml:space="preserve">Core FFO/share</w:t>
            </w:r>
          </w:p>
        </w:tc>
        <w:tc>
          <w:tcPr/>
          <w:p>
            <w:pPr>
              <w:pStyle w:val="Compact"/>
            </w:pPr>
            <w:r>
              <w:t xml:space="preserve">$0.48</w:t>
            </w:r>
          </w:p>
        </w:tc>
        <w:tc>
          <w:tcPr/>
          <w:p>
            <w:pPr>
              <w:pStyle w:val="Compact"/>
            </w:pPr>
            <w:r>
              <w:rPr>
                <w:b/>
                <w:bCs/>
              </w:rPr>
              <w:t xml:space="preserve">$0.48</w:t>
            </w:r>
          </w:p>
        </w:tc>
        <w:tc>
          <w:tcPr/>
          <w:p>
            <w:pPr>
              <w:pStyle w:val="Compact"/>
            </w:pPr>
            <w:r>
              <w:t xml:space="preserve">—</w:t>
            </w:r>
          </w:p>
        </w:tc>
      </w:tr>
      <w:tr>
        <w:tc>
          <w:tcPr/>
          <w:p>
            <w:pPr>
              <w:pStyle w:val="Compact"/>
            </w:pPr>
            <w:r>
              <w:t xml:space="preserve">AFFO/share</w:t>
            </w:r>
          </w:p>
        </w:tc>
        <w:tc>
          <w:tcPr/>
          <w:p>
            <w:pPr>
              <w:pStyle w:val="Compact"/>
            </w:pPr>
            <w:r>
              <w:t xml:space="preserve">$0.41</w:t>
            </w:r>
          </w:p>
        </w:tc>
        <w:tc>
          <w:tcPr/>
          <w:p>
            <w:pPr>
              <w:pStyle w:val="Compact"/>
            </w:pPr>
            <w:r>
              <w:t xml:space="preserve">$0.41</w:t>
            </w:r>
          </w:p>
        </w:tc>
        <w:tc>
          <w:tcPr/>
          <w:p>
            <w:pPr>
              <w:pStyle w:val="Compact"/>
            </w:pPr>
            <w:r>
              <w:t xml:space="preserve">—</w:t>
            </w:r>
          </w:p>
        </w:tc>
      </w:tr>
      <w:tr>
        <w:tc>
          <w:tcPr/>
          <w:p>
            <w:pPr>
              <w:pStyle w:val="Compact"/>
            </w:pPr>
            <w:r>
              <w:t xml:space="preserve">SS Core Revenue growth</w:t>
            </w:r>
          </w:p>
        </w:tc>
        <w:tc>
          <w:tcPr/>
          <w:p>
            <w:pPr>
              <w:pStyle w:val="Compact"/>
            </w:pPr>
            <w:r>
              <w:t xml:space="preserve">+1.6%</w:t>
            </w:r>
          </w:p>
        </w:tc>
        <w:tc>
          <w:tcPr/>
          <w:p>
            <w:pPr>
              <w:pStyle w:val="Compact"/>
            </w:pPr>
            <w:r>
              <w:t xml:space="preserve">+2.4%</w:t>
            </w:r>
          </w:p>
        </w:tc>
        <w:tc>
          <w:tcPr/>
          <w:p>
            <w:pPr>
              <w:pStyle w:val="Compact"/>
            </w:pPr>
            <w:r>
              <w:t xml:space="preserve">—</w:t>
            </w:r>
          </w:p>
        </w:tc>
      </w:tr>
      <w:tr>
        <w:tc>
          <w:tcPr/>
          <w:p>
            <w:pPr>
              <w:pStyle w:val="Compact"/>
            </w:pPr>
            <w:r>
              <w:t xml:space="preserve">SS Core Opex growth</w:t>
            </w:r>
          </w:p>
        </w:tc>
        <w:tc>
          <w:tcPr/>
          <w:p>
            <w:pPr>
              <w:pStyle w:val="Compact"/>
            </w:pPr>
            <w:r>
              <w:t xml:space="preserve">+5.7%</w:t>
            </w:r>
          </w:p>
        </w:tc>
        <w:tc>
          <w:tcPr/>
          <w:p>
            <w:pPr>
              <w:pStyle w:val="Compact"/>
            </w:pPr>
            <w:r>
              <w:t xml:space="preserve">+2.2%</w:t>
            </w:r>
          </w:p>
        </w:tc>
        <w:tc>
          <w:tcPr/>
          <w:p>
            <w:pPr>
              <w:pStyle w:val="Compact"/>
            </w:pPr>
            <w:r>
              <w:t xml:space="preserve">—</w:t>
            </w:r>
          </w:p>
        </w:tc>
      </w:tr>
      <w:tr>
        <w:tc>
          <w:tcPr/>
          <w:p>
            <w:pPr>
              <w:pStyle w:val="Compact"/>
            </w:pPr>
            <w:r>
              <w:t xml:space="preserve">SS NOI growth</w:t>
            </w:r>
          </w:p>
        </w:tc>
        <w:tc>
          <w:tcPr/>
          <w:p>
            <w:pPr>
              <w:pStyle w:val="Compact"/>
            </w:pPr>
            <w:r>
              <w:t xml:space="preserve">−0.3%</w:t>
            </w:r>
          </w:p>
        </w:tc>
        <w:tc>
          <w:tcPr/>
          <w:p>
            <w:pPr>
              <w:pStyle w:val="Compact"/>
            </w:pPr>
            <w:r>
              <w:t xml:space="preserve">+2.5%</w:t>
            </w:r>
          </w:p>
        </w:tc>
        <w:tc>
          <w:tcPr/>
          <w:p>
            <w:pPr>
              <w:pStyle w:val="Compact"/>
            </w:pPr>
            <w:r>
              <w:t xml:space="preserve">—</w:t>
            </w:r>
          </w:p>
        </w:tc>
      </w:tr>
      <w:tr>
        <w:tc>
          <w:tcPr/>
          <w:p>
            <w:pPr>
              <w:pStyle w:val="Compact"/>
            </w:pPr>
            <w:r>
              <w:t xml:space="preserve">SS Avg. Occupancy</w:t>
            </w:r>
          </w:p>
        </w:tc>
        <w:tc>
          <w:tcPr/>
          <w:p>
            <w:pPr>
              <w:pStyle w:val="Compact"/>
            </w:pPr>
            <w:r>
              <w:t xml:space="preserve">96.3%</w:t>
            </w:r>
          </w:p>
        </w:tc>
        <w:tc>
          <w:tcPr/>
          <w:p>
            <w:pPr>
              <w:pStyle w:val="Compact"/>
            </w:pPr>
            <w:r>
              <w:rPr>
                <w:b/>
                <w:bCs/>
              </w:rPr>
              <w:t xml:space="preserve">97.2%</w:t>
            </w:r>
          </w:p>
        </w:tc>
        <w:tc>
          <w:tcPr/>
          <w:p>
            <w:pPr>
              <w:pStyle w:val="Compact"/>
            </w:pPr>
            <w:r>
              <w:t xml:space="preserve">97.1%</w:t>
            </w:r>
          </w:p>
        </w:tc>
      </w:tr>
      <w:tr>
        <w:tc>
          <w:tcPr/>
          <w:p>
            <w:pPr>
              <w:pStyle w:val="Compact"/>
            </w:pPr>
            <w:r>
              <w:t xml:space="preserve">Blended rent growth</w:t>
            </w:r>
          </w:p>
        </w:tc>
        <w:tc>
          <w:tcPr/>
          <w:p>
            <w:pPr>
              <w:pStyle w:val="Compact"/>
            </w:pPr>
            <w:r>
              <w:t xml:space="preserve">+1.6%</w:t>
            </w:r>
          </w:p>
        </w:tc>
        <w:tc>
          <w:tcPr/>
          <w:p>
            <w:pPr>
              <w:pStyle w:val="Compact"/>
            </w:pPr>
            <w:r>
              <w:rPr>
                <w:b/>
                <w:bCs/>
              </w:rPr>
              <w:t xml:space="preserve">+4.0%</w:t>
            </w:r>
          </w:p>
        </w:tc>
        <w:tc>
          <w:tcPr/>
          <w:p>
            <w:pPr>
              <w:pStyle w:val="Compact"/>
            </w:pPr>
            <w:r>
              <w:t xml:space="preserve">+2.3%</w:t>
            </w:r>
          </w:p>
        </w:tc>
      </w:tr>
      <w:tr>
        <w:tc>
          <w:tcPr/>
          <w:p>
            <w:pPr>
              <w:pStyle w:val="Compact"/>
            </w:pPr>
            <w:r>
              <w:t xml:space="preserve">— Renewals</w:t>
            </w:r>
          </w:p>
        </w:tc>
        <w:tc>
          <w:tcPr/>
          <w:p>
            <w:pPr>
              <w:pStyle w:val="Compact"/>
            </w:pPr>
            <w:r>
              <w:t xml:space="preserve">+3.7%</w:t>
            </w:r>
          </w:p>
        </w:tc>
        <w:tc>
          <w:tcPr/>
          <w:p>
            <w:pPr>
              <w:pStyle w:val="Compact"/>
            </w:pPr>
            <w:r>
              <w:t xml:space="preserve">+4.7%</w:t>
            </w:r>
          </w:p>
        </w:tc>
        <w:tc>
          <w:tcPr/>
          <w:p>
            <w:pPr>
              <w:pStyle w:val="Compact"/>
            </w:pPr>
            <w:r>
              <w:t xml:space="preserve">low-3%</w:t>
            </w:r>
          </w:p>
        </w:tc>
      </w:tr>
      <w:tr>
        <w:tc>
          <w:tcPr/>
          <w:p>
            <w:pPr>
              <w:pStyle w:val="Compact"/>
            </w:pPr>
            <w:r>
              <w:t xml:space="preserve">— New lease</w:t>
            </w:r>
          </w:p>
        </w:tc>
        <w:tc>
          <w:tcPr/>
          <w:p>
            <w:pPr>
              <w:pStyle w:val="Compact"/>
            </w:pPr>
            <w:r>
              <w:t xml:space="preserve">−3.0%</w:t>
            </w:r>
          </w:p>
        </w:tc>
        <w:tc>
          <w:tcPr/>
          <w:p>
            <w:pPr>
              <w:pStyle w:val="Compact"/>
            </w:pPr>
            <w:r>
              <w:t xml:space="preserve">+2.2%</w:t>
            </w:r>
          </w:p>
        </w:tc>
        <w:tc>
          <w:tcPr/>
          <w:p>
            <w:pPr>
              <w:pStyle w:val="Compact"/>
            </w:pPr>
            <w:r>
              <w:t xml:space="preserve">~+0.5%</w:t>
            </w:r>
          </w:p>
        </w:tc>
      </w:tr>
    </w:tbl>
    <w:p>
      <w:pPr>
        <w:pStyle w:val="BodyText"/>
      </w:pPr>
      <w:r>
        <w:t xml:space="preserve">Two things jump out:</w:t>
      </w:r>
    </w:p>
    <w:p>
      <w:pPr>
        <w:pStyle w:val="Compact"/>
        <w:numPr>
          <w:ilvl w:val="0"/>
          <w:numId w:val="1002"/>
        </w:numPr>
      </w:pPr>
      <w:r>
        <w:rPr>
          <w:b/>
          <w:bCs/>
        </w:rPr>
        <w:t xml:space="preserve">The revenue comps get harder, not easier.</w:t>
      </w:r>
      <w:r>
        <w:t xml:space="preserve"> </w:t>
      </w:r>
      <w:r>
        <w:t xml:space="preserve">Q2 2025 was a peak-strength quarter (97.2% occupancy, +4.0% blended, +2.2% new lease). INVH is lapping that with a portfolio now running structurally lower occupancy (~96–97%) and softer new-lease pricing.</w:t>
      </w:r>
    </w:p>
    <w:p>
      <w:pPr>
        <w:pStyle w:val="Compact"/>
        <w:numPr>
          <w:ilvl w:val="0"/>
          <w:numId w:val="1002"/>
        </w:numPr>
      </w:pPr>
      <w:r>
        <w:rPr>
          <w:b/>
          <w:bCs/>
        </w:rPr>
        <w:t xml:space="preserve">The expense comp gets easier.</w:t>
      </w:r>
      <w:r>
        <w:t xml:space="preserve"> </w:t>
      </w:r>
      <w:r>
        <w:t xml:space="preserve">Q1's alarming +5.7% opex growth was driven by an unusually</w:t>
      </w:r>
      <w:r>
        <w:t xml:space="preserve"> </w:t>
      </w:r>
      <w:r>
        <w:rPr>
          <w:i/>
          <w:iCs/>
        </w:rPr>
        <w:t xml:space="preserve">low</w:t>
      </w:r>
      <w:r>
        <w:t xml:space="preserve"> </w:t>
      </w:r>
      <w:r>
        <w:t xml:space="preserve">Q1'25 base (mild weather, low turnover). Q2'25 opex growth was a more normal +2.2%, so Q2'26 year-over-year expense growth should optically moderate — a key test of the intact 3–4% full-year opex guide.</w:t>
      </w:r>
    </w:p>
    <w:p>
      <w:r>
        <w:pict>
          <v:rect style="width:0;height:1.5pt" o:hralign="center" o:hrstd="t" o:hr="t"/>
        </w:pict>
      </w:r>
    </w:p>
    <w:bookmarkEnd w:id="13"/>
    <w:bookmarkStart w:id="14" w:name="the-leasing-inflection--is-it-holding"/>
    <w:p>
      <w:pPr>
        <w:pStyle w:val="Heading2"/>
      </w:pPr>
      <w:r>
        <w:t xml:space="preserve">The leasing inflection — is it holding?</w:t>
      </w:r>
    </w:p>
    <w:p>
      <w:pPr>
        <w:pStyle w:val="FirstParagraph"/>
      </w:pPr>
      <w:r>
        <w:t xml:space="preserve">This is the crux of the quarter. The Q1 narrative was "new lease rent growth turned positive in April" — blended accelerated to +2.3% with new leases back to ~+0.5% (a 230 bp jump from March), and occupancy climbed to 97.1%. Management said May "will look a lot like April."</w:t>
      </w:r>
    </w:p>
    <w:p>
      <w:pPr>
        <w:pStyle w:val="BodyText"/>
      </w:pPr>
      <w:r>
        <w:rPr>
          <w:b/>
          <w:bCs/>
        </w:rPr>
        <w:t xml:space="preserve">Watch for:</w:t>
      </w:r>
    </w:p>
    <w:p>
      <w:pPr>
        <w:pStyle w:val="Compact"/>
        <w:numPr>
          <w:ilvl w:val="0"/>
          <w:numId w:val="1003"/>
        </w:numPr>
      </w:pPr>
      <w:r>
        <w:rPr>
          <w:b/>
          <w:bCs/>
        </w:rPr>
        <w:t xml:space="preserve">New-lease trajectory through May/June.</w:t>
      </w:r>
      <w:r>
        <w:t xml:space="preserve"> </w:t>
      </w:r>
      <w:r>
        <w:t xml:space="preserve">Management expects the renewal-vs-new-lease spread to</w:t>
      </w:r>
      <w:r>
        <w:t xml:space="preserve"> </w:t>
      </w:r>
      <w:r>
        <w:rPr>
          <w:i/>
          <w:iCs/>
        </w:rPr>
        <w:t xml:space="preserve">narrow</w:t>
      </w:r>
      <w:r>
        <w:t xml:space="preserve"> </w:t>
      </w:r>
      <w:r>
        <w:t xml:space="preserve">as peak season progresses. Confirmation that new-lease growth kept climbing (rather than stalling) is the single most important operating datapoint.</w:t>
      </w:r>
    </w:p>
    <w:p>
      <w:pPr>
        <w:pStyle w:val="Compact"/>
        <w:numPr>
          <w:ilvl w:val="0"/>
          <w:numId w:val="1003"/>
        </w:numPr>
      </w:pPr>
      <w:r>
        <w:rPr>
          <w:b/>
          <w:bCs/>
        </w:rPr>
        <w:t xml:space="preserve">Occupancy durability.</w:t>
      </w:r>
      <w:r>
        <w:t xml:space="preserve"> </w:t>
      </w:r>
      <w:r>
        <w:t xml:space="preserve">Last year occupancy "peaked a bit early" and faded. Management is "cautiously optimistic" it holds better this year given moderating supply — but this is the swing factor for 2H revenue.</w:t>
      </w:r>
    </w:p>
    <w:p>
      <w:pPr>
        <w:pStyle w:val="Compact"/>
        <w:numPr>
          <w:ilvl w:val="0"/>
          <w:numId w:val="1003"/>
        </w:numPr>
      </w:pPr>
      <w:r>
        <w:rPr>
          <w:b/>
          <w:bCs/>
        </w:rPr>
        <w:t xml:space="preserve">Sunbelt supply markets.</w:t>
      </w:r>
      <w:r>
        <w:t xml:space="preserve"> </w:t>
      </w:r>
      <w:r>
        <w:t xml:space="preserve">The pressure is concentrated in build-to-rent-heavy metros — Phoenix (new leases −5.8% in Q1), Tampa (−5.6%), Texas (Dallas −6.0%, Houston −5.9%), and Florida broadly. West Coast and Midwest (Chicago, Minneapolis) held positive. Management argues BTR peak deliveries and mom-and-pop listings are moderating; look for market-level color confirming absorption.</w:t>
      </w:r>
    </w:p>
    <w:p>
      <w:r>
        <w:pict>
          <v:rect style="width:0;height:1.5pt" o:hralign="center" o:hrstd="t" o:hr="t"/>
        </w:pict>
      </w:r>
    </w:p>
    <w:bookmarkEnd w:id="14"/>
    <w:bookmarkStart w:id="15" w:name="capital-allocation--the-real-story"/>
    <w:p>
      <w:pPr>
        <w:pStyle w:val="Heading2"/>
      </w:pPr>
      <w:r>
        <w:t xml:space="preserve">Capital allocation — the real story</w:t>
      </w:r>
    </w:p>
    <w:p>
      <w:pPr>
        <w:pStyle w:val="FirstParagraph"/>
      </w:pPr>
      <w:r>
        <w:t xml:space="preserve">INVH is running an aggressive "sell high, buy low" arbitrage that should be front and center again:</w:t>
      </w:r>
    </w:p>
    <w:p>
      <w:pPr>
        <w:pStyle w:val="Compact"/>
        <w:numPr>
          <w:ilvl w:val="0"/>
          <w:numId w:val="1004"/>
        </w:numPr>
      </w:pPr>
      <w:r>
        <w:t xml:space="preserve">In Q1 it sold 483 homes at</w:t>
      </w:r>
      <w:r>
        <w:t xml:space="preserve"> </w:t>
      </w:r>
      <w:r>
        <w:rPr>
          <w:b/>
          <w:bCs/>
        </w:rPr>
        <w:t xml:space="preserve">~</w:t>
      </w:r>
      <m:oMath>
        <m:r>
          <m:t>427</m:t>
        </m:r>
        <m:r>
          <m:t>K</m:t>
        </m:r>
        <m:r>
          <m:t>e</m:t>
        </m:r>
        <m:r>
          <m:t>a</m:t>
        </m:r>
        <m:r>
          <m:t>c</m:t>
        </m:r>
        <m:r>
          <m:t>h</m:t>
        </m:r>
        <m:r>
          <m:rPr>
            <m:sty m:val="p"/>
          </m:rPr>
          <m:t>(</m:t>
        </m:r>
        <m:r>
          <m:t>l</m:t>
        </m:r>
        <m:r>
          <m:t>o</m:t>
        </m:r>
        <m:r>
          <m:t>w</m:t>
        </m:r>
        <m:r>
          <m:rPr>
            <m:sty m:val="p"/>
          </m:rPr>
          <m:t>−</m:t>
        </m:r>
        <m:r>
          <m:t>4</m:t>
        </m:r>
      </m:oMath>
      <w:r>
        <w:rPr>
          <w:b/>
          <w:bCs/>
        </w:rPr>
        <w:t xml:space="preserve">270K/home</w:t>
      </w:r>
      <w:r>
        <w:t xml:space="preserve"> </w:t>
      </w:r>
      <w:r>
        <w:t xml:space="preserve">— fully exhausting the prior $500M authorization (19.3M shares at $25.86 avg).</w:t>
      </w:r>
    </w:p>
    <w:p>
      <w:pPr>
        <w:pStyle w:val="Compact"/>
        <w:numPr>
          <w:ilvl w:val="0"/>
          <w:numId w:val="1004"/>
        </w:numPr>
      </w:pPr>
      <w:r>
        <w:t xml:space="preserve">A</w:t>
      </w:r>
      <w:r>
        <w:t xml:space="preserve"> </w:t>
      </w:r>
      <w:r>
        <w:rPr>
          <w:b/>
          <w:bCs/>
        </w:rPr>
        <w:t xml:space="preserve">new $500M buyback authorization</w:t>
      </w:r>
      <w:r>
        <w:t xml:space="preserve"> </w:t>
      </w:r>
      <w:r>
        <w:t xml:space="preserve">was approved April 27. With the stock in the $28–30 range through Q2, watch how much they deployed and at what price — and whether they signal appetite to keep leaning in.</w:t>
      </w:r>
    </w:p>
    <w:p>
      <w:pPr>
        <w:pStyle w:val="Compact"/>
        <w:numPr>
          <w:ilvl w:val="0"/>
          <w:numId w:val="1004"/>
        </w:numPr>
      </w:pPr>
      <w:r>
        <w:t xml:space="preserve">Dispositions are "tracking well ahead of expectations." Any commentary on</w:t>
      </w:r>
      <w:r>
        <w:t xml:space="preserve"> </w:t>
      </w:r>
      <w:r>
        <w:rPr>
          <w:b/>
          <w:bCs/>
        </w:rPr>
        <w:t xml:space="preserve">ramping the disposition program</w:t>
      </w:r>
      <w:r>
        <w:t xml:space="preserve"> </w:t>
      </w:r>
      <w:r>
        <w:t xml:space="preserve">(Steve Sakwa floated a special dividend given the tax gains) is worth watching.</w:t>
      </w:r>
    </w:p>
    <w:p>
      <w:pPr>
        <w:pStyle w:val="Compact"/>
        <w:numPr>
          <w:ilvl w:val="0"/>
          <w:numId w:val="1004"/>
        </w:numPr>
      </w:pPr>
      <w:r>
        <w:rPr>
          <w:b/>
          <w:bCs/>
        </w:rPr>
        <w:t xml:space="preserve">Share-count tailwind:</w:t>
      </w:r>
      <w:r>
        <w:t xml:space="preserve"> </w:t>
      </w:r>
      <w:r>
        <w:t xml:space="preserve">Olsen noted Q1's weighted-average share count did</w:t>
      </w:r>
      <w:r>
        <w:t xml:space="preserve"> </w:t>
      </w:r>
      <w:r>
        <w:rPr>
          <w:i/>
          <w:iCs/>
        </w:rPr>
        <w:t xml:space="preserve">not</w:t>
      </w:r>
      <w:r>
        <w:t xml:space="preserve"> </w:t>
      </w:r>
      <w:r>
        <w:t xml:space="preserve">yet fully reflect the buybacks — so the denominator benefit to per-share metrics should show up more fully in Q2.</w:t>
      </w:r>
    </w:p>
    <w:p>
      <w:r>
        <w:pict>
          <v:rect style="width:0;height:1.5pt" o:hralign="center" o:hrstd="t" o:hr="t"/>
        </w:pict>
      </w:r>
    </w:p>
    <w:bookmarkEnd w:id="15"/>
    <w:bookmarkStart w:id="16" w:name="secondary-watch-items"/>
    <w:p>
      <w:pPr>
        <w:pStyle w:val="Heading2"/>
      </w:pPr>
      <w:r>
        <w:t xml:space="preserve">Secondary watch-items</w:t>
      </w:r>
    </w:p>
    <w:p>
      <w:pPr>
        <w:pStyle w:val="Compact"/>
        <w:numPr>
          <w:ilvl w:val="0"/>
          <w:numId w:val="1005"/>
        </w:numPr>
      </w:pPr>
      <w:r>
        <w:rPr>
          <w:b/>
          <w:bCs/>
        </w:rPr>
        <w:t xml:space="preserve">Development / ResiBuilt:</w:t>
      </w:r>
      <w:r>
        <w:t xml:space="preserve"> </w:t>
      </w:r>
      <w:r>
        <w:t xml:space="preserve">The forward homebuilder pipeline was cut ~⅔ to ~556 homes / ~</w:t>
      </w:r>
      <m:oMath>
        <m:r>
          <m:t>200</m:t>
        </m:r>
        <m:r>
          <m:t>M</m:t>
        </m:r>
        <m:r>
          <m:rPr>
            <m:sty m:val="p"/>
          </m:rPr>
          <m:t>.</m:t>
        </m:r>
        <m:r>
          <m:t>R</m:t>
        </m:r>
        <m:r>
          <m:t>e</m:t>
        </m:r>
        <m:r>
          <m:t>s</m:t>
        </m:r>
        <m:r>
          <m:t>i</m:t>
        </m:r>
        <m:r>
          <m:t>B</m:t>
        </m:r>
        <m:r>
          <m:t>u</m:t>
        </m:r>
        <m:r>
          <m:t>i</m:t>
        </m:r>
        <m:r>
          <m:t>l</m:t>
        </m:r>
        <m:r>
          <m:t>t</m:t>
        </m:r>
        <m:r>
          <m:rPr>
            <m:sty m:val="p"/>
          </m:rPr>
          <m:t>(</m:t>
        </m:r>
        <m:r>
          <m:t>a</m:t>
        </m:r>
        <m:r>
          <m:t>c</m:t>
        </m:r>
        <m:r>
          <m:t>q</m:t>
        </m:r>
        <m:r>
          <m:t>u</m:t>
        </m:r>
        <m:r>
          <m:t>i</m:t>
        </m:r>
        <m:r>
          <m:t>r</m:t>
        </m:r>
        <m:r>
          <m:t>e</m:t>
        </m:r>
        <m:r>
          <m:t>d</m:t>
        </m:r>
        <m:r>
          <m:t>J</m:t>
        </m:r>
        <m:r>
          <m:t>a</m:t>
        </m:r>
        <m:r>
          <m:t>n</m:t>
        </m:r>
        <m:r>
          <m:t>2026</m:t>
        </m:r>
        <m:r>
          <m:rPr>
            <m:sty m:val="p"/>
          </m:rPr>
          <m:t>)</m:t>
        </m:r>
        <m:r>
          <m:t>d</m:t>
        </m:r>
        <m:r>
          <m:t>e</m:t>
        </m:r>
        <m:r>
          <m:t>l</m:t>
        </m:r>
        <m:r>
          <m:t>i</m:t>
        </m:r>
        <m:r>
          <m:t>v</m:t>
        </m:r>
        <m:r>
          <m:t>e</m:t>
        </m:r>
        <m:r>
          <m:t>r</m:t>
        </m:r>
        <m:r>
          <m:t>e</m:t>
        </m:r>
        <m:r>
          <m:t>d</m:t>
        </m:r>
        <m:r>
          <m:t>300</m:t>
        </m:r>
        <m:r>
          <m:rPr>
            <m:sty m:val="p"/>
          </m:rPr>
          <m:t>+</m:t>
        </m:r>
        <m:r>
          <m:t>h</m:t>
        </m:r>
        <m:r>
          <m:t>o</m:t>
        </m:r>
        <m:r>
          <m:t>m</m:t>
        </m:r>
        <m:r>
          <m:t>e</m:t>
        </m:r>
        <m:r>
          <m:t>s</m:t>
        </m:r>
        <m:r>
          <m:t>t</m:t>
        </m:r>
        <m:r>
          <m:t>o</m:t>
        </m:r>
        <m:r>
          <m:t>t</m:t>
        </m:r>
        <m:r>
          <m:t>h</m:t>
        </m:r>
        <m:r>
          <m:t>i</m:t>
        </m:r>
        <m:r>
          <m:t>r</m:t>
        </m:r>
        <m:r>
          <m:t>d</m:t>
        </m:r>
        <m:r>
          <m:t>p</m:t>
        </m:r>
        <m:r>
          <m:t>a</m:t>
        </m:r>
        <m:r>
          <m:t>r</m:t>
        </m:r>
        <m:r>
          <m:t>t</m:t>
        </m:r>
        <m:r>
          <m:t>i</m:t>
        </m:r>
        <m:r>
          <m:t>e</m:t>
        </m:r>
        <m:r>
          <m:t>s</m:t>
        </m:r>
        <m:r>
          <m:t>i</m:t>
        </m:r>
        <m:r>
          <m:t>n</m:t>
        </m:r>
        <m:r>
          <m:t>Q</m:t>
        </m:r>
        <m:r>
          <m:t>1</m:t>
        </m:r>
        <m:r>
          <m:t>a</m:t>
        </m:r>
        <m:r>
          <m:t>n</m:t>
        </m:r>
        <m:r>
          <m:t>d</m:t>
        </m:r>
        <m:r>
          <m:t>i</m:t>
        </m:r>
        <m:r>
          <m:t>s</m:t>
        </m:r>
        <m:r>
          <m:t>b</m:t>
        </m:r>
        <m:r>
          <m:t>e</m:t>
        </m:r>
        <m:r>
          <m:t>i</m:t>
        </m:r>
        <m:r>
          <m:t>n</m:t>
        </m:r>
        <m:r>
          <m:t>g</m:t>
        </m:r>
        <m:r>
          <m:t>r</m:t>
        </m:r>
        <m:r>
          <m:t>u</m:t>
        </m:r>
        <m:r>
          <m:t>n</m:t>
        </m:r>
        <m:r>
          <m:t>p</m:t>
        </m:r>
        <m:r>
          <m:t>r</m:t>
        </m:r>
        <m:r>
          <m:t>i</m:t>
        </m:r>
        <m:r>
          <m:t>m</m:t>
        </m:r>
        <m:r>
          <m:t>a</m:t>
        </m:r>
        <m:r>
          <m:t>r</m:t>
        </m:r>
        <m:r>
          <m:t>i</m:t>
        </m:r>
        <m:r>
          <m:t>l</m:t>
        </m:r>
        <m:r>
          <m:t>y</m:t>
        </m:r>
        <m:r>
          <m:t>a</m:t>
        </m:r>
        <m:r>
          <m:t>s</m:t>
        </m:r>
        <m:r>
          <m:t>a</m:t>
        </m:r>
        <m:r>
          <m:t>f</m:t>
        </m:r>
        <m:r>
          <m:t>e</m:t>
        </m:r>
        <m:r>
          <m:t>e</m:t>
        </m:r>
        <m:r>
          <m:t>b</m:t>
        </m:r>
        <m:r>
          <m:t>u</m:t>
        </m:r>
        <m:r>
          <m:t>i</m:t>
        </m:r>
        <m:r>
          <m:t>l</m:t>
        </m:r>
        <m:r>
          <m:t>d</m:t>
        </m:r>
        <m:r>
          <m:t>e</m:t>
        </m:r>
        <m:r>
          <m:t>r</m:t>
        </m:r>
        <m:r>
          <m:rPr>
            <m:sty m:val="p"/>
          </m:rPr>
          <m:t>;</m:t>
        </m:r>
        <m:r>
          <m:t>c</m:t>
        </m:r>
        <m:r>
          <m:t>o</m:t>
        </m:r>
        <m:r>
          <m:t>n</m:t>
        </m:r>
        <m:r>
          <m:t>s</m:t>
        </m:r>
        <m:r>
          <m:t>t</m:t>
        </m:r>
        <m:r>
          <m:t>r</m:t>
        </m:r>
        <m:r>
          <m:t>u</m:t>
        </m:r>
        <m:r>
          <m:t>c</m:t>
        </m:r>
        <m:r>
          <m:t>t</m:t>
        </m:r>
        <m:r>
          <m:t>i</m:t>
        </m:r>
        <m:r>
          <m:t>o</m:t>
        </m:r>
        <m:r>
          <m:t>n</m:t>
        </m:r>
        <m:r>
          <m:rPr>
            <m:sty m:val="p"/>
          </m:rPr>
          <m:t>−</m:t>
        </m:r>
        <m:r>
          <m:t>l</m:t>
        </m:r>
        <m:r>
          <m:t>e</m:t>
        </m:r>
        <m:r>
          <m:t>n</m:t>
        </m:r>
        <m:r>
          <m:t>d</m:t>
        </m:r>
        <m:r>
          <m:t>i</m:t>
        </m:r>
        <m:r>
          <m:t>n</m:t>
        </m:r>
        <m:r>
          <m:t>g</m:t>
        </m:r>
        <m:r>
          <m:t>c</m:t>
        </m:r>
        <m:r>
          <m:t>o</m:t>
        </m:r>
        <m:r>
          <m:t>m</m:t>
        </m:r>
        <m:r>
          <m:t>m</m:t>
        </m:r>
        <m:r>
          <m:t>i</m:t>
        </m:r>
        <m:r>
          <m:t>t</m:t>
        </m:r>
        <m:r>
          <m:t>m</m:t>
        </m:r>
        <m:r>
          <m:t>e</m:t>
        </m:r>
        <m:r>
          <m:t>n</m:t>
        </m:r>
        <m:r>
          <m:t>t</m:t>
        </m:r>
        <m:r>
          <m:t>s</m:t>
        </m:r>
        <m:r>
          <m:t>r</m:t>
        </m:r>
        <m:r>
          <m:t>e</m:t>
        </m:r>
        <m:r>
          <m:t>a</m:t>
        </m:r>
        <m:r>
          <m:t>c</m:t>
        </m:r>
        <m:r>
          <m:t>h</m:t>
        </m:r>
        <m:r>
          <m:t>e</m:t>
        </m:r>
        <m:r>
          <m:t>d</m:t>
        </m:r>
        <m:r>
          <m:t> </m:t>
        </m:r>
      </m:oMath>
      <w:r>
        <w:t xml:space="preserve">279M. Look for updated delivery pace and whether any "build-for-ourselves" appetite is returning.</w:t>
      </w:r>
    </w:p>
    <w:p>
      <w:pPr>
        <w:pStyle w:val="Compact"/>
        <w:numPr>
          <w:ilvl w:val="0"/>
          <w:numId w:val="1005"/>
        </w:numPr>
      </w:pPr>
      <w:r>
        <w:rPr>
          <w:b/>
          <w:bCs/>
        </w:rPr>
        <w:t xml:space="preserve">Policy/regulatory:</w:t>
      </w:r>
      <w:r>
        <w:t xml:space="preserve"> </w:t>
      </w:r>
      <w:r>
        <w:t xml:space="preserve">CEO Dallas Tanner has been active in D.C. around housing legislation (the ROAD to Housing Act and related SFR provisions). Tone has been constructive; watch for any update on how draft provisions are evolving and any impact on the development/JV pipeline (some projects were put "on hold" pending clarity).</w:t>
      </w:r>
    </w:p>
    <w:p>
      <w:pPr>
        <w:pStyle w:val="Compact"/>
        <w:numPr>
          <w:ilvl w:val="0"/>
          <w:numId w:val="1005"/>
        </w:numPr>
      </w:pPr>
      <w:r>
        <w:rPr>
          <w:b/>
          <w:bCs/>
        </w:rPr>
        <w:t xml:space="preserve">Balance sheet:</w:t>
      </w:r>
      <w:r>
        <w:t xml:space="preserve"> </w:t>
      </w:r>
      <w:r>
        <w:t xml:space="preserve">In excellent shape — net debt/EBITDA</w:t>
      </w:r>
      <w:r>
        <w:t xml:space="preserve"> </w:t>
      </w:r>
      <w:r>
        <w:rPr>
          <w:b/>
          <w:bCs/>
        </w:rPr>
        <w:t xml:space="preserve">5.6x</w:t>
      </w:r>
      <w:r>
        <w:t xml:space="preserve"> </w:t>
      </w:r>
      <w:r>
        <w:t xml:space="preserve">(within the 5.5–6.0x target), ~$1.3B liquidity, ~90% fixed/swapped, no final maturity before June 2027. Not a source of risk this quarter.</w:t>
      </w:r>
    </w:p>
    <w:p>
      <w:pPr>
        <w:pStyle w:val="Compact"/>
        <w:numPr>
          <w:ilvl w:val="0"/>
          <w:numId w:val="1005"/>
        </w:numPr>
      </w:pPr>
      <w:r>
        <w:rPr>
          <w:b/>
          <w:bCs/>
        </w:rPr>
        <w:t xml:space="preserve">Credit health of the resident:</w:t>
      </w:r>
      <w:r>
        <w:t xml:space="preserve"> </w:t>
      </w:r>
      <w:r>
        <w:t xml:space="preserve">Bad debt steady at ~60 bps; average tenure &gt;40 months and ~78% renewal rate — the demand/retention story management leans on. Turnover has ticked up modestly (5.3% in Q1 vs 5.0% a year ago) — watch for any change in move-out-to-buy behavior (has held ~16–17%).</w:t>
      </w:r>
    </w:p>
    <w:p>
      <w:r>
        <w:pict>
          <v:rect style="width:0;height:1.5pt" o:hralign="center" o:hrstd="t" o:hr="t"/>
        </w:pict>
      </w:r>
    </w:p>
    <w:bookmarkEnd w:id="16"/>
    <w:bookmarkStart w:id="17" w:name="bottom-line-for-investors"/>
    <w:p>
      <w:pPr>
        <w:pStyle w:val="Heading2"/>
      </w:pPr>
      <w:r>
        <w:t xml:space="preserve">Bottom line for investors</w:t>
      </w:r>
    </w:p>
    <w:p>
      <w:pPr>
        <w:pStyle w:val="FirstParagraph"/>
      </w:pPr>
      <w:r>
        <w:t xml:space="preserve">Model roughly</w:t>
      </w:r>
      <w:r>
        <w:t xml:space="preserve"> </w:t>
      </w:r>
      <w:r>
        <w:rPr>
          <w:b/>
          <w:bCs/>
        </w:rPr>
        <w:t xml:space="preserve">flat-to-slightly-up Core FFO (~</w:t>
      </w:r>
      <m:oMath>
        <m:r>
          <m:t>0.48</m:t>
        </m:r>
        <m:r>
          <m:rPr>
            <m:sty m:val="p"/>
          </m:rPr>
          <m:t>–</m:t>
        </m:r>
      </m:oMath>
      <w:r>
        <w:rPr>
          <w:b/>
          <w:bCs/>
        </w:rPr>
        <w:t xml:space="preserve">0.49)</w:t>
      </w:r>
      <w:r>
        <w:t xml:space="preserve"> </w:t>
      </w:r>
      <w:r>
        <w:t xml:space="preserve">against a $0.48 year-ago comp, with the full-year midpoint of</w:t>
      </w:r>
      <w:r>
        <w:t xml:space="preserve"> </w:t>
      </w:r>
      <m:oMath>
        <m:r>
          <m:t>1.94</m:t>
        </m:r>
        <m:r>
          <m:t>i</m:t>
        </m:r>
        <m:r>
          <m:t>m</m:t>
        </m:r>
        <m:r>
          <m:t>p</m:t>
        </m:r>
        <m:r>
          <m:t>l</m:t>
        </m:r>
        <m:r>
          <m:t>y</m:t>
        </m:r>
        <m:r>
          <m:t>i</m:t>
        </m:r>
        <m:r>
          <m:t>n</m:t>
        </m:r>
        <m:r>
          <m:t>g</m:t>
        </m:r>
        <m:r>
          <m:t> </m:t>
        </m:r>
      </m:oMath>
      <w:r>
        <w:t xml:space="preserve">0.485/quarter for the balance of the year. The numbers themselves are unlikely to surprise much —</w:t>
      </w:r>
      <w:r>
        <w:t xml:space="preserve"> </w:t>
      </w:r>
      <w:r>
        <w:rPr>
          <w:b/>
          <w:bCs/>
        </w:rPr>
        <w:t xml:space="preserve">the report is really about three questions</w:t>
      </w:r>
      <w:r>
        <w:t xml:space="preserve">:</w:t>
      </w:r>
    </w:p>
    <w:p>
      <w:pPr>
        <w:pStyle w:val="Compact"/>
        <w:numPr>
          <w:ilvl w:val="0"/>
          <w:numId w:val="1006"/>
        </w:numPr>
      </w:pPr>
      <w:r>
        <w:t xml:space="preserve">Did the new-lease/occupancy inflection from April sustain through peak season, or fade like last year?</w:t>
      </w:r>
    </w:p>
    <w:p>
      <w:pPr>
        <w:pStyle w:val="Compact"/>
        <w:numPr>
          <w:ilvl w:val="0"/>
          <w:numId w:val="1006"/>
        </w:numPr>
      </w:pPr>
      <w:r>
        <w:t xml:space="preserve">Does the easier expense comp confirm the 3–4% full-year opex guide?</w:t>
      </w:r>
    </w:p>
    <w:p>
      <w:pPr>
        <w:pStyle w:val="Compact"/>
        <w:numPr>
          <w:ilvl w:val="0"/>
          <w:numId w:val="1006"/>
        </w:numPr>
      </w:pPr>
      <w:r>
        <w:rPr>
          <w:b/>
          <w:bCs/>
        </w:rPr>
        <w:t xml:space="preserve">Does management finally move guidance</w:t>
      </w:r>
      <w:r>
        <w:t xml:space="preserve"> </w:t>
      </w:r>
      <w:r>
        <w:t xml:space="preserve">— and does it lean on the disposition/buyback arbitrage as an offset to a still-soft Sunbelt new-lease environment?</w:t>
      </w:r>
    </w:p>
    <w:p>
      <w:pPr>
        <w:pStyle w:val="FirstParagraph"/>
      </w:pPr>
      <w:r>
        <w:t xml:space="preserve">A clean beat-and-raise scenario (holding occupancy + narrowing/raising guidance + continued opportunistic buybacks) would validate the recent share recovery. A "maintain, stay cautious" outcome — plausible given management's tone — likely leaves the stock range-bound with the arbitrage story doing the heavy lifting.</w:t>
      </w:r>
    </w:p>
    <w:p>
      <w:pPr>
        <w:pStyle w:val="BodyText"/>
      </w:pPr>
      <w:r>
        <w:rPr>
          <w:i/>
          <w:iCs/>
        </w:rPr>
        <w:t xml:space="preserve">Note: Figures above are drawn from INVH's Q1 2026 and Q2 2025 earnings releases and the Q1 2026 earnings call; comparisons reference the year-ago (Q2 2025) period INVH will report against.</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2026-07-29T01:59:55Z</dcterms:created>
  <dcterms:modified xsi:type="dcterms:W3CDTF">2026-07-29T01:59:55Z</dcterms:modified>
</cp:coreProperties>
</file>

<file path=docProps/custom.xml><?xml version="1.0" encoding="utf-8"?>
<Properties xmlns="http://schemas.openxmlformats.org/officeDocument/2006/custom-properties" xmlns:vt="http://schemas.openxmlformats.org/officeDocument/2006/docPropsVTypes"/>
</file>