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~$0.50 vs. cons $0.49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~$717M vs. cons $714.3M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 Store NOI Growth (Q2 y/y)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~1.4% vs. cons ~0.9%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~$1.94 (mid) vs. cons $1.95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 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~1.5-1.75% (mid) vs. cons ~1.0-1.25% prior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Disposition/capital recycling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~$600M vs. cons/prior $550M midpoint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New-lease/blended rent growth trajectory commentary (Q2 vs. April preview)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guide/color ~2.5-3.0% Q2 blended vs. cons/prior-quarter run-rate ~2.3% (Q2 2026 leasing update)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(FOLLOW-THROUGH)</w:t>
            </w:r>
          </w:p>
        </w:tc>
        <w:tc>
          <w:tcPr/>
          <w:p>
            <w:pPr>
              <w:pStyle w:val="Compact"/>
            </w:pPr>
            <w:r>
              <w:t xml:space="preserve">Peer read-through (EQR raised FY26 same-store revenue/NOI guidance on accelerating blended rents and stable occupancy) plus INVH's own April inflection (new-lease turning positive, occupancy +80bps) point to a constructive but not blowout print. Prior two INVH prints (Q1'26 beat, Q2'25 miss) both showed 5-day residuals moving further in the direction of day-1 (momentum/follow-through rather than mean-reversion), consistent with a small-cap REIT where sell-side estimate revisions lag the print by a few days. A modest guidance nudge up (not a full raise, since management wanted to see the whole peak season) caps upside vs. a blowout, but the lack of a cut and continued buyback/disposition arbitrage keeps the tape constructive into day 5 rather than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2026-07-29T02:05:33Z</dcterms:created>
  <dcterms:modified xsi:type="dcterms:W3CDTF">2026-07-29T02:05:33Z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