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5" w:name="X9b27462690f981d6ea0e7f72815beb6feb20aed"/>
    <w:p>
      <w:pPr>
        <w:pStyle w:val="Heading1"/>
      </w:pPr>
      <w:r>
        <w:t xml:space="preserve">Invitation Homes (INVH) — Q2 2026 Earnings Preview</w:t>
      </w:r>
    </w:p>
    <w:p>
      <w:pPr>
        <w:pStyle w:val="FirstParagraph"/>
      </w:pPr>
      <w:r>
        <w:rPr>
          <w:b/>
          <w:bCs/>
        </w:rPr>
        <w:t xml:space="preserve">Report Date:</w:t>
      </w:r>
      <w:r>
        <w:t xml:space="preserve"> </w:t>
      </w:r>
      <w:r>
        <w:t xml:space="preserve">July 29, 2026 (after market close) |</w:t>
      </w:r>
      <w:r>
        <w:t xml:space="preserve"> </w:t>
      </w:r>
      <w:r>
        <w:rPr>
          <w:b/>
          <w:bCs/>
        </w:rPr>
        <w:t xml:space="preserve">Event:</w:t>
      </w:r>
      <w:r>
        <w:t xml:space="preserve"> </w:t>
      </w:r>
      <w:r>
        <w:t xml:space="preserve">2026Q2 Earnings Call</w:t>
      </w:r>
    </w:p>
    <w:p>
      <w:r>
        <w:pict>
          <v:rect style="width:0;height:1.5pt" o:hralign="center" o:hrstd="t" o:hr="t"/>
        </w:pict>
      </w:r>
    </w:p>
    <w:bookmarkStart w:id="9" w:name="snapshot"/>
    <w:p>
      <w:pPr>
        <w:pStyle w:val="Heading2"/>
      </w:pPr>
      <w:r>
        <w:t xml:space="preserve">Snapshot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Stock price (7/28/26 close)</w:t>
            </w:r>
          </w:p>
        </w:tc>
        <w:tc>
          <w:tcPr/>
          <w:p>
            <w:pPr>
              <w:pStyle w:val="Compact"/>
            </w:pPr>
            <w:r>
              <w:t xml:space="preserve">~$30.06, near 2026 highs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Consensus Q2 Core FFO/share</w:t>
            </w:r>
          </w:p>
        </w:tc>
        <w:tc>
          <w:tcPr/>
          <w:p>
            <w:pPr>
              <w:pStyle w:val="Compact"/>
            </w:pPr>
            <w:r>
              <w:t xml:space="preserve">~$0.49 (+2.1% y/y)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Consensus Q2 Total Revenue</w:t>
            </w:r>
          </w:p>
        </w:tc>
        <w:tc>
          <w:tcPr/>
          <w:p>
            <w:pPr>
              <w:pStyle w:val="Compact"/>
            </w:pPr>
            <w:r>
              <w:t xml:space="preserve">~$714.3M (+4.8% y/y)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FY26 Core FFO guidance</w:t>
            </w:r>
          </w:p>
        </w:tc>
        <w:tc>
          <w:tcPr/>
          <w:p>
            <w:pPr>
              <w:pStyle w:val="Compact"/>
            </w:pPr>
            <m:oMath>
              <m:r>
                <m:t>1.90</m:t>
              </m:r>
              <m:r>
                <m:rPr>
                  <m:sty m:val="p"/>
                </m:rPr>
                <m:t>–</m:t>
              </m:r>
            </m:oMath>
            <w:r>
              <w:t xml:space="preserve">1.98 (midpoint $1.94)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FY26 AFFO guidance</w:t>
            </w:r>
          </w:p>
        </w:tc>
        <w:tc>
          <w:tcPr/>
          <w:p>
            <w:pPr>
              <w:pStyle w:val="Compact"/>
            </w:pPr>
            <m:oMath>
              <m:r>
                <m:t>1.60</m:t>
              </m:r>
              <m:r>
                <m:rPr>
                  <m:sty m:val="p"/>
                </m:rPr>
                <m:t>–</m:t>
              </m:r>
            </m:oMath>
            <w:r>
              <w:t xml:space="preserve">1.68 (midpoint $1.64)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Analyst sentiment</w:t>
            </w:r>
          </w:p>
        </w:tc>
        <w:tc>
          <w:tcPr/>
          <w:p>
            <w:pPr>
              <w:pStyle w:val="Compact"/>
            </w:pPr>
            <w:r>
              <w:t xml:space="preserve">Consensus "Moderate Buy"/"Buy"; price targets mostly low-to-mid $30s</w:t>
            </w:r>
          </w:p>
        </w:tc>
      </w:tr>
    </w:tbl>
    <w:p>
      <w:pPr>
        <w:pStyle w:val="BodyText"/>
      </w:pPr>
      <w:r>
        <w:t xml:space="preserve">Invitation Homes is the largest publicly traded owner/operator of single-family rental (SFR) homes in the U.S., with roughly 86,000 wholly-owned homes and another ~24,000 managed or JV-owned across 16 core Sunbelt, Western, and Midwest markets. The stock has rallied from around $27.70 in early January to about $30 heading into the print, tracking a broader recovery in residential REITs and easing concerns around Sunbelt oversupply.</w:t>
      </w:r>
    </w:p>
    <w:bookmarkEnd w:id="9"/>
    <w:bookmarkStart w:id="10" w:name="Xa67da0cdbf3a32e2d238ff61845452af808ebbd"/>
    <w:p>
      <w:pPr>
        <w:pStyle w:val="Heading2"/>
      </w:pPr>
      <w:r>
        <w:t xml:space="preserve">What Happened Last Quarter (Q1 2026) — The Setup</w:t>
      </w:r>
    </w:p>
    <w:p>
      <w:pPr>
        <w:pStyle w:val="FirstParagraph"/>
      </w:pPr>
      <w:r>
        <w:t xml:space="preserve">Q1 was a "trough" comp quarter that management flagged well in advance. Core FFO per share remained generally flat at $0.48, while AFFO per share declined 2.6% to $0.41, consistent with expectations and primarily timing related. Same Store NOI decreased 0.3% year over year, reflecting 1.6% Same Store Core Revenues growth and 5.7% Same Store Core Operating Expenses growth; these results were impacted by the expected moderation in Same Store Average Occupancy from 97.2% to 96.3% year over year and timing of expenses.</w:t>
      </w:r>
    </w:p>
    <w:p>
      <w:pPr>
        <w:pStyle w:val="BodyText"/>
      </w:pPr>
      <w:r>
        <w:t xml:space="preserve">The critical forward-looking data point from Q1 was the</w:t>
      </w:r>
      <w:r>
        <w:t xml:space="preserve"> </w:t>
      </w:r>
      <w:r>
        <w:rPr>
          <w:b/>
          <w:bCs/>
        </w:rPr>
        <w:t xml:space="preserve">April leasing update</w:t>
      </w:r>
      <w:r>
        <w:t xml:space="preserve">, which set up expectations for Q2: Same Store renewal rent growth of 3.7% and Same Store new lease rent growth of (3.0)% resulted in Same Store blended rent growth of 1.6%; looking ahead, preliminary April Same Store blended rent growth is approximately 2.3%, including a return to positive new lease rent growth for the month. On the call, COO Tim Lobner reinforced that trajectory, noting average occupancy accelerated to 97.1% in April, up 80 basis points from the Q1 average, and that spreads between renewal and new-lease growth "generally tend to narrow" as the peak season progresses.</w:t>
      </w:r>
    </w:p>
    <w:bookmarkEnd w:id="10"/>
    <w:bookmarkStart w:id="11" w:name="key-things-to-watch-in-the-q2-print"/>
    <w:p>
      <w:pPr>
        <w:pStyle w:val="Heading2"/>
      </w:pPr>
      <w:r>
        <w:t xml:space="preserve">Key Things to Watch in the Q2 Print</w:t>
      </w:r>
    </w:p>
    <w:p>
      <w:pPr>
        <w:pStyle w:val="FirstParagraph"/>
      </w:pPr>
      <w:r>
        <w:rPr>
          <w:b/>
          <w:bCs/>
        </w:rPr>
        <w:t xml:space="preserve">1. Did the new-lease inflection hold through peak season?</w:t>
      </w:r>
      <w:r>
        <w:t xml:space="preserve"> </w:t>
      </w:r>
      <w:r>
        <w:t xml:space="preserve">The single biggest swing factor for the quarter is whether new lease rent growth — negative in Q1 (-3.0%) — continued to build on April's return to positive territory (+0.5%) as leasing volumes peaked in May/June. Management guided for occupancy to keep climbing through peak season before its typical seasonal give-back in Q4, and for the renewal/new-lease spread to compress. Investors will want to see blended rent growth clearly above the 2.3% April pace.</w:t>
      </w:r>
    </w:p>
    <w:p>
      <w:pPr>
        <w:pStyle w:val="BodyText"/>
      </w:pPr>
      <w:r>
        <w:rPr>
          <w:b/>
          <w:bCs/>
        </w:rPr>
        <w:t xml:space="preserve">2. Occupancy trajectory.</w:t>
      </w:r>
      <w:r>
        <w:t xml:space="preserve"> </w:t>
      </w:r>
      <w:r>
        <w:t xml:space="preserve">Average occupancy fell 90bps y/y in Q1 (96.3% vs. 97.2%) as the company intentionally normalized off a post-pandemic high. The question is whether Q2 occupancy stabilizes in the 97%+ range as guided, validating management's "cautiously optimistic" framing, or whether elevated supply — particularly build-to-rent (BTR) completions in Sunbelt markets — keeps pressuring pricing power.</w:t>
      </w:r>
    </w:p>
    <w:p>
      <w:pPr>
        <w:pStyle w:val="BodyText"/>
      </w:pPr>
      <w:r>
        <w:rPr>
          <w:b/>
          <w:bCs/>
        </w:rPr>
        <w:t xml:space="preserve">3. Expense growth normalization.</w:t>
      </w:r>
      <w:r>
        <w:t xml:space="preserve"> </w:t>
      </w:r>
      <w:r>
        <w:t xml:space="preserve">Q1's 5.7% same-store expense growth looked elevated but was explained by an unusually easy comp (mild weather, low turnover in Q1 2025). Management reiterated that full-year expense guidance of 3%-4% remains intact, with insurance renewals coming in modestly favorable. Watch whether Q2 expense growth decelerates as promised — this is a key swing factor for NOI margin.</w:t>
      </w:r>
    </w:p>
    <w:p>
      <w:pPr>
        <w:pStyle w:val="BodyText"/>
      </w:pPr>
      <w:r>
        <w:rPr>
          <w:b/>
          <w:bCs/>
        </w:rPr>
        <w:t xml:space="preserve">4. Capital allocation cadence.</w:t>
      </w:r>
      <w:r>
        <w:t xml:space="preserve"> </w:t>
      </w:r>
      <w:r>
        <w:t xml:space="preserve">This has arguably become the dominant story of 2026. INVH fully spent its $500 million buyback authorization in Q1 (17.1 million shares in Q1 alone, plus Q4 2025 repurchases, for 19.3 million shares total at an average price of $25.86) and its board immediately approved a fresh $500 million authorization on April 27. Dispositions have also run well ahead of plan — $206 million in Q1 alone against a full-year target of</w:t>
      </w:r>
      <w:r>
        <w:t xml:space="preserve"> </w:t>
      </w:r>
      <m:oMath>
        <m:r>
          <m:t>450</m:t>
        </m:r>
        <m:r>
          <m:rPr>
            <m:sty m:val="p"/>
          </m:rPr>
          <m:t>–</m:t>
        </m:r>
        <m:r>
          <m:t>650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—</m:t>
        </m:r>
        <m:r>
          <m:t>w</m:t>
        </m:r>
        <m:r>
          <m:t>i</m:t>
        </m:r>
        <m:r>
          <m:t>t</m:t>
        </m:r>
        <m:r>
          <m:t>h</m:t>
        </m:r>
        <m:r>
          <m:t>m</m:t>
        </m:r>
        <m:r>
          <m:t>a</m:t>
        </m:r>
        <m:r>
          <m:t>n</m:t>
        </m:r>
        <m:r>
          <m:t>a</m:t>
        </m:r>
        <m:r>
          <m:t>g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n</m:t>
        </m:r>
        <m:r>
          <m:t>o</m:t>
        </m:r>
        <m:r>
          <m:t>t</m:t>
        </m:r>
        <m:r>
          <m:t>i</m:t>
        </m:r>
        <m:r>
          <m:t>n</m:t>
        </m:r>
        <m:r>
          <m:t>g</m:t>
        </m:r>
        <m:r>
          <m:t>s</m:t>
        </m:r>
        <m:r>
          <m:t>a</m:t>
        </m:r>
        <m:r>
          <m:t>l</m:t>
        </m:r>
        <m:r>
          <m:t>e</m:t>
        </m:r>
        <m:r>
          <m:t>s</m:t>
        </m:r>
        <m:r>
          <m:t>a</m:t>
        </m:r>
        <m:r>
          <m:t>r</m:t>
        </m:r>
        <m:r>
          <m:t>e</m:t>
        </m:r>
        <m:r>
          <m:t>p</m:t>
        </m:r>
        <m:r>
          <m:t>r</m:t>
        </m:r>
        <m:r>
          <m:t>i</m:t>
        </m:r>
        <m:r>
          <m:t>c</m:t>
        </m:r>
        <m:r>
          <m:t>i</m:t>
        </m:r>
        <m:r>
          <m:t>n</m:t>
        </m:r>
        <m:r>
          <m:t>g</m:t>
        </m:r>
        <m:r>
          <m:t>a</m:t>
        </m:r>
        <m:r>
          <m:t>t</m:t>
        </m:r>
        <m:r>
          <m:t>c</m:t>
        </m:r>
        <m:r>
          <m:t>a</m:t>
        </m:r>
        <m:r>
          <m:t>p</m:t>
        </m:r>
        <m:r>
          <m:t>r</m:t>
        </m:r>
        <m:r>
          <m:t>a</m:t>
        </m:r>
        <m:r>
          <m:t>t</m:t>
        </m:r>
        <m:r>
          <m:t>e</m:t>
        </m:r>
        <m:r>
          <m:t>s</m:t>
        </m:r>
        <m:r>
          <m:t>i</m:t>
        </m:r>
        <m:r>
          <m:t>n</m:t>
        </m:r>
        <m:r>
          <m:t>t</m:t>
        </m:r>
        <m:r>
          <m:t>h</m:t>
        </m:r>
        <m:r>
          <m:t>e</m:t>
        </m:r>
        <m:r>
          <m:t>l</m:t>
        </m:r>
        <m:r>
          <m:t>o</m:t>
        </m:r>
        <m:r>
          <m:t>w</m:t>
        </m:r>
        <m:r>
          <m:rPr>
            <m:sty m:val="p"/>
          </m:rPr>
          <m:t>−</m:t>
        </m:r>
        <m:r>
          <m:t>4</m:t>
        </m:r>
      </m:oMath>
      <w:r>
        <w:t xml:space="preserve">270,000 per home versus ~$427,000 per home achieved on dispositions. Investors will want an update on: (a) how much of the new $500M authorization has already been deployed, (b) whether disposition pacing continues to run ahead of the $550M full-year midpoint, and (c) any commentary on capital allocation shifting toward development/ResiBuilt as legislative clarity emerges.</w:t>
      </w:r>
    </w:p>
    <w:p>
      <w:pPr>
        <w:pStyle w:val="BodyText"/>
      </w:pPr>
      <w:r>
        <w:rPr>
          <w:b/>
          <w:bCs/>
        </w:rPr>
        <w:t xml:space="preserve">5. Legislative/regulatory overhang (ROAD to Housing Act).</w:t>
      </w:r>
      <w:r>
        <w:t xml:space="preserve"> </w:t>
      </w:r>
      <w:r>
        <w:t xml:space="preserve">CEO Dallas Tanner spent considerable time on the Q1 call discussing ongoing engagement with policymakers in Washington around SFR-focused housing legislation, describing the dialogue as constructive but still "dynamic" and noting the company has pulled back on forward home-purchase commitments (backlog down to ~$200 million, roughly two-thirds lower than a year ago) partly in response to capital-markets signals tied to this uncertainty. Any incremental legislative clarity — positive or negative — could move the stock and will likely be a major Q&amp;A topic.</w:t>
      </w:r>
    </w:p>
    <w:p>
      <w:pPr>
        <w:pStyle w:val="BodyText"/>
      </w:pPr>
      <w:r>
        <w:rPr>
          <w:b/>
          <w:bCs/>
        </w:rPr>
        <w:t xml:space="preserve">6. ResiBuilt integration.</w:t>
      </w:r>
      <w:r>
        <w:t xml:space="preserve"> </w:t>
      </w:r>
      <w:r>
        <w:t xml:space="preserve">The build-to-rent platform acquired in January delivered over 300 homes to third-party buyers in Q1 and is expected to be modestly accretive to 2026 AFFO/share. Updates on fee-build backlog growth and the construction lending book (which had grown to $279 million of commitments) will be watched as a differentiated, capital-light growth lever.</w:t>
      </w:r>
    </w:p>
    <w:bookmarkEnd w:id="11"/>
    <w:bookmarkStart w:id="12" w:name="sector-backdrop"/>
    <w:p>
      <w:pPr>
        <w:pStyle w:val="Heading2"/>
      </w:pPr>
      <w:r>
        <w:t xml:space="preserve">Sector Backdrop</w:t>
      </w:r>
    </w:p>
    <w:p>
      <w:pPr>
        <w:pStyle w:val="FirstParagraph"/>
      </w:pPr>
      <w:r>
        <w:t xml:space="preserve">The SFR/rental landscape heading into this print is mixed. On one hand, broader apartment fundamentals appear to be inflecting positively — a recent industry report noted net absorption of roughly 124,600 multifamily units in Q2, up from 83,500 in Q1 and 8% above the prior year, with new deliveries down 27% y/y and vacancy falling to 8.9%, "its first move below 9% since 2024." On the other hand, single-family rental-specific data suggests supply pressure in the Sunbelt is still working through the system — build-to-rent and multifamily rents in several high-growth Sunbelt metros (Austin, Denver, Tampa, Phoenix) remained negative on a year-over-year basis through mid-2026, and national SFR rent growth has decelerated versus 2025 levels. This bifurcation — coastal/gateway market strength (INVH's Southern California, Seattle, Northern California assets posted the best same-store growth in Q1) versus continued Sunbelt new-supply drag — is likely to persist as a theme in Q2 results and guidance commentary.</w:t>
      </w:r>
    </w:p>
    <w:bookmarkEnd w:id="12"/>
    <w:bookmarkStart w:id="13" w:name="valuation--sentiment"/>
    <w:p>
      <w:pPr>
        <w:pStyle w:val="Heading2"/>
      </w:pPr>
      <w:r>
        <w:t xml:space="preserve">Valuation &amp; Sentiment</w:t>
      </w:r>
    </w:p>
    <w:p>
      <w:pPr>
        <w:pStyle w:val="FirstParagraph"/>
      </w:pPr>
      <w:r>
        <w:t xml:space="preserve">Analyst sentiment is constructively mixed. Coverage skews toward "Moderate Buy," with a recent tally showing 11 "Strong Buy," 1 "Moderate Buy," and 12 "Hold" ratings among 24 analysts, and average price targets clustering in the low-to-mid $30s (several trackers cite roughly</w:t>
      </w:r>
      <w:r>
        <w:t xml:space="preserve"> </w:t>
      </w:r>
      <m:oMath>
        <m:r>
          <m:t>30</m:t>
        </m:r>
        <m:r>
          <m:rPr>
            <m:sty m:val="p"/>
          </m:rPr>
          <m:t>–</m:t>
        </m:r>
        <m:r>
          <m:t>35</m:t>
        </m:r>
        <m:r>
          <m:t>t</m:t>
        </m:r>
        <m:r>
          <m:t>a</m:t>
        </m:r>
        <m:r>
          <m:t>r</m:t>
        </m:r>
        <m:r>
          <m:t>g</m:t>
        </m:r>
        <m:r>
          <m:t>e</m:t>
        </m:r>
        <m:r>
          <m:t>t</m:t>
        </m:r>
        <m:r>
          <m:t>s</m:t>
        </m:r>
        <m:r>
          <m:rPr>
            <m:sty m:val="p"/>
          </m:rPr>
          <m:t>,</m:t>
        </m:r>
        <m:r>
          <m:t>w</m:t>
        </m:r>
        <m:r>
          <m:t>i</m:t>
        </m:r>
        <m:r>
          <m:t>t</m:t>
        </m:r>
        <m:r>
          <m:t>h</m:t>
        </m:r>
        <m:r>
          <m:t>r</m:t>
        </m:r>
        <m:r>
          <m:t>e</m:t>
        </m:r>
        <m:r>
          <m:t>c</m:t>
        </m:r>
        <m:r>
          <m:t>e</m:t>
        </m:r>
        <m:r>
          <m:t>n</m:t>
        </m:r>
        <m:r>
          <m:t>t</m:t>
        </m:r>
        <m:r>
          <m:t>m</m:t>
        </m:r>
        <m:r>
          <m:t>o</m:t>
        </m:r>
        <m:r>
          <m:t>v</m:t>
        </m:r>
        <m:r>
          <m:t>e</m:t>
        </m:r>
        <m:r>
          <m:t>s</m:t>
        </m:r>
        <m:r>
          <m:t>i</m:t>
        </m:r>
        <m:r>
          <m:t>n</m:t>
        </m:r>
        <m:r>
          <m:t>c</m:t>
        </m:r>
        <m:r>
          <m:t>l</m:t>
        </m:r>
        <m:r>
          <m:t>u</m:t>
        </m:r>
        <m:r>
          <m:t>d</m:t>
        </m:r>
        <m:r>
          <m:t>i</m:t>
        </m:r>
        <m:r>
          <m:t>n</m:t>
        </m:r>
        <m:r>
          <m:t>g</m:t>
        </m:r>
        <m:r>
          <m:t>a</m:t>
        </m:r>
        <m:r>
          <m:t>R</m:t>
        </m:r>
        <m:r>
          <m:t>a</m:t>
        </m:r>
        <m:r>
          <m:t>y</m:t>
        </m:r>
        <m:r>
          <m:t>m</m:t>
        </m:r>
        <m:r>
          <m:t>o</m:t>
        </m:r>
        <m:r>
          <m:t>n</m:t>
        </m:r>
        <m:r>
          <m:t>d</m:t>
        </m:r>
        <m:r>
          <m:t>J</m:t>
        </m:r>
        <m:r>
          <m:t>a</m:t>
        </m:r>
        <m:r>
          <m:t>m</m:t>
        </m:r>
        <m:r>
          <m:t>e</m:t>
        </m:r>
        <m:r>
          <m:t>s</m:t>
        </m:r>
        <m:r>
          <m:t>u</m:t>
        </m:r>
        <m:r>
          <m:t>p</m:t>
        </m:r>
        <m:r>
          <m:t>g</m:t>
        </m:r>
        <m:r>
          <m:t>r</m:t>
        </m:r>
        <m:r>
          <m:t>a</m:t>
        </m:r>
        <m:r>
          <m:t>d</m:t>
        </m:r>
        <m:r>
          <m:t>e</m:t>
        </m:r>
        <m:r>
          <m:t>t</m:t>
        </m:r>
        <m:r>
          <m:t>o</m:t>
        </m:r>
        <m:r>
          <m:t>O</m:t>
        </m:r>
        <m:r>
          <m:t>u</m:t>
        </m:r>
        <m:r>
          <m:t>t</m:t>
        </m:r>
        <m:r>
          <m:t>p</m:t>
        </m:r>
        <m:r>
          <m:t>e</m:t>
        </m:r>
        <m:r>
          <m:t>r</m:t>
        </m:r>
        <m:r>
          <m:t>f</m:t>
        </m:r>
        <m:r>
          <m:t>o</m:t>
        </m:r>
        <m:r>
          <m:t>r</m:t>
        </m:r>
        <m:r>
          <m:t>m</m:t>
        </m:r>
        <m:r>
          <m:t>a</m:t>
        </m:r>
        <m:r>
          <m:t>n</m:t>
        </m:r>
        <m:r>
          <m:t>d</m:t>
        </m:r>
        <m:r>
          <m:t>a</m:t>
        </m:r>
        <m:r>
          <m:t>B</m:t>
        </m:r>
        <m:r>
          <m:t>o</m:t>
        </m:r>
        <m:r>
          <m:t>f</m:t>
        </m:r>
        <m:r>
          <m:t>A</m:t>
        </m:r>
        <m:r>
          <m:t>p</m:t>
        </m:r>
        <m:r>
          <m:t>r</m:t>
        </m:r>
        <m:r>
          <m:t>i</m:t>
        </m:r>
        <m:r>
          <m:t>c</m:t>
        </m:r>
        <m:r>
          <m:t>e</m:t>
        </m:r>
        <m:r>
          <m:t>t</m:t>
        </m:r>
        <m:r>
          <m:t>a</m:t>
        </m:r>
        <m:r>
          <m:t>r</m:t>
        </m:r>
        <m:r>
          <m:t>g</m:t>
        </m:r>
        <m:r>
          <m:t>e</m:t>
        </m:r>
        <m:r>
          <m:t>t</m:t>
        </m:r>
        <m:r>
          <m:t>r</m:t>
        </m:r>
        <m:r>
          <m:t>a</m:t>
        </m:r>
        <m:r>
          <m:t>i</m:t>
        </m:r>
        <m:r>
          <m:t>s</m:t>
        </m:r>
        <m:r>
          <m:t>e</m:t>
        </m:r>
        <m:r>
          <m:rPr>
            <m:sty m:val="p"/>
          </m:rPr>
          <m:t>)</m:t>
        </m:r>
        <m:r>
          <m:rPr>
            <m:sty m:val="p"/>
          </m:rPr>
          <m:t>.</m:t>
        </m:r>
        <m:r>
          <m:t>T</m:t>
        </m:r>
        <m:r>
          <m:t>h</m:t>
        </m:r>
        <m:r>
          <m:t>e</m:t>
        </m:r>
        <m:r>
          <m:t>s</m:t>
        </m:r>
        <m:r>
          <m:t>t</m:t>
        </m:r>
        <m:r>
          <m:t>o</m:t>
        </m:r>
        <m:r>
          <m:t>c</m:t>
        </m:r>
        <m:sSup>
          <m:e>
            <m:r>
              <m:t>k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r</m:t>
        </m:r>
        <m:r>
          <m:t>e</m:t>
        </m:r>
        <m:r>
          <m:t>b</m:t>
        </m:r>
        <m:r>
          <m:t>o</m:t>
        </m:r>
        <m:r>
          <m:t>u</m:t>
        </m:r>
        <m:r>
          <m:t>n</m:t>
        </m:r>
        <m:r>
          <m:t>d</m:t>
        </m:r>
        <m:r>
          <m:t>o</m:t>
        </m:r>
        <m:r>
          <m:t>f</m:t>
        </m:r>
        <m:r>
          <m:t>f</m:t>
        </m:r>
        <m:r>
          <m:t>2026</m:t>
        </m:r>
        <m:r>
          <m:t>l</m:t>
        </m:r>
        <m:r>
          <m:t>o</m:t>
        </m:r>
        <m:r>
          <m:t>w</m:t>
        </m:r>
        <m:r>
          <m:t>s</m:t>
        </m:r>
        <m:r>
          <m:rPr>
            <m:sty m:val="p"/>
          </m:rPr>
          <m:t>(</m:t>
        </m:r>
        <m:r>
          <m:t> </m:t>
        </m:r>
      </m:oMath>
      <w:r>
        <w:t xml:space="preserve">24.39 in March) to the current ~$30 level suggests the market has already priced in some of the improving leasing narrative from the Q1 call — raising the bar for Q2 results and, more importantly, for management's tone on the back half of peak leasing season and full-year guidance.</w:t>
      </w:r>
    </w:p>
    <w:bookmarkEnd w:id="13"/>
    <w:bookmarkStart w:id="14" w:name="bottom-line-for-investors"/>
    <w:p>
      <w:pPr>
        <w:pStyle w:val="Heading2"/>
      </w:pPr>
      <w:r>
        <w:t xml:space="preserve">Bottom Line for Investors</w:t>
      </w:r>
    </w:p>
    <w:p>
      <w:pPr>
        <w:pStyle w:val="FirstParagraph"/>
      </w:pPr>
      <w:r>
        <w:t xml:space="preserve">This is a "show me" quarter for the new-lease rent growth inflection that management flagged in April. Given the FY26 guidance was reaffirmed (not raised) at Q1 despite favorable disposition and buyback execution, the bar for a guidance raise at Q2 appears modest — management signaled it wanted to see "the majority of peak leasing season" play out first. Key swing factors are: (1) confirmation that new lease growth built on the April inflection through Q2, (2) expense growth decelerating toward the 3-4% full-year target, (3) further detail on the pace of the new $500M buyback authorization and disposition activity, and (4) any incremental color on Washington's SFR-related housing legislation, which remains the wildcard tail risk/opportunity for the stock and the broader institutional single-family rental industry.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2026-07-29T02:05:33Z</dcterms:created>
  <dcterms:modified xsi:type="dcterms:W3CDTF">2026-07-29T02:05:33Z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