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3f16d724226b3db91133e4c055d909c76a64f9b"/>
    <w:p>
      <w:pPr>
        <w:pStyle w:val="Heading1"/>
      </w:pPr>
      <w:r>
        <w:t xml:space="preserve">Invitation Homes (NYSE: INVH) — 2Q26 Earnings Preview</w:t>
      </w:r>
    </w:p>
    <w:p>
      <w:pPr>
        <w:pStyle w:val="BlockText"/>
      </w:pPr>
      <w:r>
        <w:rPr>
          <w:b/>
          <w:bCs/>
        </w:rPr>
        <w:t xml:space="preserve">Timing clarification:</w:t>
      </w:r>
      <w:r>
        <w:t xml:space="preserve"> </w:t>
      </w:r>
      <w:r>
        <w:t xml:space="preserve">Invitation Homes is scheduled to</w:t>
      </w:r>
      <w:r>
        <w:t xml:space="preserve"> </w:t>
      </w:r>
      <w:r>
        <w:rPr>
          <w:b/>
          <w:bCs/>
        </w:rPr>
        <w:t xml:space="preserve">release results today, Wednesday, July 29, 2026, after the market closes</w:t>
      </w:r>
      <w:r>
        <w:t xml:space="preserve">. The earnings call is</w:t>
      </w:r>
      <w:r>
        <w:t xml:space="preserve"> </w:t>
      </w:r>
      <w:r>
        <w:rPr>
          <w:b/>
          <w:bCs/>
        </w:rPr>
        <w:t xml:space="preserve">tomorrow, Thursday, July 30, at 11:00 a.m. ET</w:t>
      </w:r>
      <w:r>
        <w:t xml:space="preserve">.</w:t>
      </w:r>
    </w:p>
    <w:bookmarkStart w:id="9" w:name="investment-view-going-into-the-report"/>
    <w:p>
      <w:pPr>
        <w:pStyle w:val="Heading2"/>
      </w:pPr>
      <w:r>
        <w:t xml:space="preserve">Investment view going into the report</w:t>
      </w:r>
    </w:p>
    <w:p>
      <w:pPr>
        <w:pStyle w:val="FirstParagraph"/>
      </w:pPr>
      <w:r>
        <w:t xml:space="preserve">The central question is not whether Invitation Homes can deliver roughly stable quarterly FFO. It is whether the operating recovery management described in April and June continued through the balance of peak leasing season.</w:t>
      </w:r>
    </w:p>
    <w:p>
      <w:pPr>
        <w:pStyle w:val="BodyText"/>
      </w:pPr>
      <w:r>
        <w:t xml:space="preserve">First-quarter results were soft on the surface: same-store NOI declined 0.3%, new-lease rents fell 3.0%, and expenses grew 5.7%. But the exit rate was materially better. Occupancy reached 97.1% in April, new-lease rent growth turned positive, and blended rent growth improved to 2.3%. Management subsequently reported that May blended growth accelerated to approximately 2.8%, with May-to-date occupancy around 97.2%.</w:t>
      </w:r>
    </w:p>
    <w:p>
      <w:pPr>
        <w:pStyle w:val="BodyText"/>
      </w:pPr>
      <w:r>
        <w:t xml:space="preserve">That sets a higher bar for the second-quarter report. Investors will want evidence that:</w:t>
      </w:r>
    </w:p>
    <w:p>
      <w:pPr>
        <w:pStyle w:val="Compact"/>
        <w:numPr>
          <w:ilvl w:val="0"/>
          <w:numId w:val="1001"/>
        </w:numPr>
      </w:pPr>
      <w:r>
        <w:t xml:space="preserve">Positive new-lease pricing persisted into June and July.</w:t>
      </w:r>
    </w:p>
    <w:p>
      <w:pPr>
        <w:pStyle w:val="Compact"/>
        <w:numPr>
          <w:ilvl w:val="0"/>
          <w:numId w:val="1001"/>
        </w:numPr>
      </w:pPr>
      <w:r>
        <w:t xml:space="preserve">Occupancy remained above or near 97%.</w:t>
      </w:r>
    </w:p>
    <w:p>
      <w:pPr>
        <w:pStyle w:val="Compact"/>
        <w:numPr>
          <w:ilvl w:val="0"/>
          <w:numId w:val="1001"/>
        </w:numPr>
      </w:pPr>
      <w:r>
        <w:t xml:space="preserve">Expense growth began normalizing toward full-year guidance.</w:t>
      </w:r>
    </w:p>
    <w:p>
      <w:pPr>
        <w:pStyle w:val="Compact"/>
        <w:numPr>
          <w:ilvl w:val="0"/>
          <w:numId w:val="1001"/>
        </w:numPr>
      </w:pPr>
      <w:r>
        <w:t xml:space="preserve">Same-store NOI returned to positive growth.</w:t>
      </w:r>
    </w:p>
    <w:p>
      <w:pPr>
        <w:pStyle w:val="Compact"/>
        <w:numPr>
          <w:ilvl w:val="0"/>
          <w:numId w:val="1001"/>
        </w:numPr>
      </w:pPr>
      <w:r>
        <w:t xml:space="preserve">Dispositions and buybacks continued to create per-share value without pushing leverage above management’s target.</w:t>
      </w:r>
    </w:p>
    <w:bookmarkEnd w:id="9"/>
    <w:bookmarkStart w:id="10" w:name="key-reported-and-guidance-benchmarks"/>
    <w:p>
      <w:pPr>
        <w:pStyle w:val="Heading2"/>
      </w:pPr>
      <w:r>
        <w:t xml:space="preserve">Key reported and guidance benchmarks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FY26 guidance / relevant benchmark</w:t>
            </w:r>
          </w:p>
        </w:tc>
        <w:tc>
          <w:tcPr/>
          <w:p>
            <w:pPr>
              <w:pStyle w:val="Compact"/>
            </w:pPr>
            <w:r>
              <w:t xml:space="preserve">What matters in 2Q</w:t>
            </w:r>
          </w:p>
        </w:tc>
      </w:tr>
      <w:tr>
        <w:tc>
          <w:tcPr/>
          <w:p>
            <w:pPr>
              <w:pStyle w:val="Compact"/>
            </w:pPr>
            <w:r>
              <w:t xml:space="preserve">Core FFO/share</w:t>
            </w:r>
          </w:p>
        </w:tc>
        <w:tc>
          <w:tcPr/>
          <w:p>
            <w:pPr>
              <w:pStyle w:val="Compact"/>
              <w:jc w:val="right"/>
            </w:pPr>
            <w:r>
              <w:t xml:space="preserve">$0.48</w:t>
            </w:r>
          </w:p>
        </w:tc>
        <w:tc>
          <w:tcPr/>
          <w:p>
            <w:pPr>
              <w:pStyle w:val="Compact"/>
              <w:jc w:val="right"/>
            </w:pPr>
            <m:oMath>
              <m:r>
                <m:t>1.90</m:t>
              </m:r>
              <m:r>
                <m:rPr>
                  <m:sty m:val="p"/>
                </m:rPr>
                <m:t>–</m:t>
              </m:r>
            </m:oMath>
            <w:r>
              <w:t xml:space="preserve">1.98</w:t>
            </w:r>
          </w:p>
        </w:tc>
        <w:tc>
          <w:tcPr/>
          <w:p>
            <w:pPr>
              <w:pStyle w:val="Compact"/>
            </w:pPr>
            <w:r>
              <w:t xml:space="preserve">Approximately</w:t>
            </w:r>
            <w:r>
              <w:t xml:space="preserve"> </w:t>
            </w:r>
            <m:oMath>
              <m:r>
                <m:t>0.48</m:t>
              </m:r>
              <m:r>
                <m:rPr>
                  <m:sty m:val="p"/>
                </m:rPr>
                <m:t>–</m:t>
              </m:r>
            </m:oMath>
            <w:r>
              <w:t xml:space="preserve">0.49 would keep the annual range on track</w:t>
            </w:r>
          </w:p>
        </w:tc>
      </w:tr>
      <w:tr>
        <w:tc>
          <w:tcPr/>
          <w:p>
            <w:pPr>
              <w:pStyle w:val="Compact"/>
            </w:pPr>
            <w:r>
              <w:t xml:space="preserve">AFFO/share</w:t>
            </w:r>
          </w:p>
        </w:tc>
        <w:tc>
          <w:tcPr/>
          <w:p>
            <w:pPr>
              <w:pStyle w:val="Compact"/>
              <w:jc w:val="right"/>
            </w:pPr>
            <w:r>
              <w:t xml:space="preserve">$0.41</w:t>
            </w:r>
          </w:p>
        </w:tc>
        <w:tc>
          <w:tcPr/>
          <w:p>
            <w:pPr>
              <w:pStyle w:val="Compact"/>
              <w:jc w:val="right"/>
            </w:pPr>
            <m:oMath>
              <m:r>
                <m:t>1.60</m:t>
              </m:r>
              <m:r>
                <m:rPr>
                  <m:sty m:val="p"/>
                </m:rPr>
                <m:t>–</m:t>
              </m:r>
            </m:oMath>
            <w:r>
              <w:t xml:space="preserve">1.68</w:t>
            </w:r>
          </w:p>
        </w:tc>
        <w:tc>
          <w:tcPr/>
          <w:p>
            <w:pPr>
              <w:pStyle w:val="Compact"/>
            </w:pPr>
            <w:r>
              <w:t xml:space="preserve">Watch recurring capex and the full impact of the lower share count</w:t>
            </w:r>
          </w:p>
        </w:tc>
      </w:tr>
      <w:tr>
        <w:tc>
          <w:tcPr/>
          <w:p>
            <w:pPr>
              <w:pStyle w:val="Compact"/>
            </w:pPr>
            <w:r>
              <w:t xml:space="preserve">Same-store revenue growth</w:t>
            </w:r>
          </w:p>
        </w:tc>
        <w:tc>
          <w:tcPr/>
          <w:p>
            <w:pPr>
              <w:pStyle w:val="Compact"/>
              <w:jc w:val="right"/>
            </w:pPr>
            <w:r>
              <w:t xml:space="preserve">1.6%</w:t>
            </w:r>
          </w:p>
        </w:tc>
        <w:tc>
          <w:tcPr/>
          <w:p>
            <w:pPr>
              <w:pStyle w:val="Compact"/>
              <w:jc w:val="right"/>
            </w:pPr>
            <w:r>
              <w:t xml:space="preserve">1.3%–2.5%</w:t>
            </w:r>
          </w:p>
        </w:tc>
        <w:tc>
          <w:tcPr/>
          <w:p>
            <w:pPr>
              <w:pStyle w:val="Compact"/>
            </w:pPr>
            <w:r>
              <w:t xml:space="preserve">Better occupancy should offset still-moderate rent growth</w:t>
            </w:r>
          </w:p>
        </w:tc>
      </w:tr>
      <w:tr>
        <w:tc>
          <w:tcPr/>
          <w:p>
            <w:pPr>
              <w:pStyle w:val="Compact"/>
            </w:pPr>
            <w:r>
              <w:t xml:space="preserve">Same-store expense growth</w:t>
            </w:r>
          </w:p>
        </w:tc>
        <w:tc>
          <w:tcPr/>
          <w:p>
            <w:pPr>
              <w:pStyle w:val="Compact"/>
              <w:jc w:val="right"/>
            </w:pPr>
            <w:r>
              <w:t xml:space="preserve">5.7%</w:t>
            </w:r>
          </w:p>
        </w:tc>
        <w:tc>
          <w:tcPr/>
          <w:p>
            <w:pPr>
              <w:pStyle w:val="Compact"/>
              <w:jc w:val="right"/>
            </w:pPr>
            <w:r>
              <w:t xml:space="preserve">3.0%–4.0%</w:t>
            </w:r>
          </w:p>
        </w:tc>
        <w:tc>
          <w:tcPr/>
          <w:p>
            <w:pPr>
              <w:pStyle w:val="Compact"/>
            </w:pPr>
            <w:r>
              <w:t xml:space="preserve">Needs to decelerate as difficult timing comparisons normalize</w:t>
            </w:r>
          </w:p>
        </w:tc>
      </w:tr>
      <w:tr>
        <w:tc>
          <w:tcPr/>
          <w:p>
            <w:pPr>
              <w:pStyle w:val="Compact"/>
            </w:pPr>
            <w:r>
              <w:t xml:space="preserve">Same-store NOI growth</w:t>
            </w:r>
          </w:p>
        </w:tc>
        <w:tc>
          <w:tcPr/>
          <w:p>
            <w:pPr>
              <w:pStyle w:val="Compact"/>
              <w:jc w:val="right"/>
            </w:pPr>
            <w:r>
              <w:t xml:space="preserve">(0.3)%</w:t>
            </w:r>
          </w:p>
        </w:tc>
        <w:tc>
          <w:tcPr/>
          <w:p>
            <w:pPr>
              <w:pStyle w:val="Compact"/>
              <w:jc w:val="right"/>
            </w:pPr>
            <w:r>
              <w:t xml:space="preserve">0.3%–2.0%</w:t>
            </w:r>
          </w:p>
        </w:tc>
        <w:tc>
          <w:tcPr/>
          <w:p>
            <w:pPr>
              <w:pStyle w:val="Compact"/>
            </w:pPr>
            <w:r>
              <w:t xml:space="preserve">A return to positive growth is an important checkpoint</w:t>
            </w:r>
          </w:p>
        </w:tc>
      </w:tr>
      <w:tr>
        <w:tc>
          <w:tcPr/>
          <w:p>
            <w:pPr>
              <w:pStyle w:val="Compact"/>
            </w:pPr>
            <w:r>
              <w:t xml:space="preserve">Average occupancy</w:t>
            </w:r>
          </w:p>
        </w:tc>
        <w:tc>
          <w:tcPr/>
          <w:p>
            <w:pPr>
              <w:pStyle w:val="Compact"/>
              <w:jc w:val="right"/>
            </w:pPr>
            <w:r>
              <w:t xml:space="preserve">96.3%</w:t>
            </w:r>
          </w:p>
        </w:tc>
        <w:tc>
          <w:tcPr/>
          <w:p>
            <w:pPr>
              <w:pStyle w:val="Compact"/>
              <w:jc w:val="right"/>
            </w:pPr>
            <w:r>
              <w:t xml:space="preserve">96.0%–96.6% full-year assumption</w:t>
            </w:r>
          </w:p>
        </w:tc>
        <w:tc>
          <w:tcPr/>
          <w:p>
            <w:pPr>
              <w:pStyle w:val="Compact"/>
            </w:pPr>
            <w:r>
              <w:t xml:space="preserve">April and May were already above 97%</w:t>
            </w:r>
          </w:p>
        </w:tc>
      </w:tr>
      <w:tr>
        <w:tc>
          <w:tcPr/>
          <w:p>
            <w:pPr>
              <w:pStyle w:val="Compact"/>
            </w:pPr>
            <w:r>
              <w:t xml:space="preserve">Renewal rent growth</w:t>
            </w:r>
          </w:p>
        </w:tc>
        <w:tc>
          <w:tcPr/>
          <w:p>
            <w:pPr>
              <w:pStyle w:val="Compact"/>
              <w:jc w:val="right"/>
            </w:pPr>
            <w:r>
              <w:t xml:space="preserve">3.7%</w:t>
            </w:r>
          </w:p>
        </w:tc>
        <w:tc>
          <w:tcPr/>
          <w:p>
            <w:pPr>
              <w:pStyle w:val="Compact"/>
              <w:jc w:val="right"/>
            </w:pPr>
            <w:r>
              <w:t xml:space="preserve">—</w:t>
            </w:r>
          </w:p>
        </w:tc>
        <w:tc>
          <w:tcPr/>
          <w:p>
            <w:pPr>
              <w:pStyle w:val="Compact"/>
            </w:pPr>
            <w:r>
              <w:t xml:space="preserve">Likely remains the portfolio’s principal pricing support</w:t>
            </w:r>
          </w:p>
        </w:tc>
      </w:tr>
      <w:tr>
        <w:tc>
          <w:tcPr/>
          <w:p>
            <w:pPr>
              <w:pStyle w:val="Compact"/>
            </w:pPr>
            <w:r>
              <w:t xml:space="preserve">New-lease rent growth</w:t>
            </w:r>
          </w:p>
        </w:tc>
        <w:tc>
          <w:tcPr/>
          <w:p>
            <w:pPr>
              <w:pStyle w:val="Compact"/>
              <w:jc w:val="right"/>
            </w:pPr>
            <w:r>
              <w:t xml:space="preserve">(3.0)%</w:t>
            </w:r>
          </w:p>
        </w:tc>
        <w:tc>
          <w:tcPr/>
          <w:p>
            <w:pPr>
              <w:pStyle w:val="Compact"/>
              <w:jc w:val="right"/>
            </w:pPr>
            <w:r>
              <w:t xml:space="preserve">—</w:t>
            </w:r>
          </w:p>
        </w:tc>
        <w:tc>
          <w:tcPr/>
          <w:p>
            <w:pPr>
              <w:pStyle w:val="Compact"/>
            </w:pPr>
            <w:r>
              <w:t xml:space="preserve">Positive and sequentially improving is the key signal</w:t>
            </w:r>
          </w:p>
        </w:tc>
      </w:tr>
      <w:tr>
        <w:tc>
          <w:tcPr/>
          <w:p>
            <w:pPr>
              <w:pStyle w:val="Compact"/>
            </w:pPr>
            <w:r>
              <w:t xml:space="preserve">Blended rent growth</w:t>
            </w:r>
          </w:p>
        </w:tc>
        <w:tc>
          <w:tcPr/>
          <w:p>
            <w:pPr>
              <w:pStyle w:val="Compact"/>
              <w:jc w:val="right"/>
            </w:pPr>
            <w:r>
              <w:t xml:space="preserve">1.6%</w:t>
            </w:r>
          </w:p>
        </w:tc>
        <w:tc>
          <w:tcPr/>
          <w:p>
            <w:pPr>
              <w:pStyle w:val="Compact"/>
              <w:jc w:val="right"/>
            </w:pPr>
            <w:r>
              <w:t xml:space="preserve">—</w:t>
            </w:r>
          </w:p>
        </w:tc>
        <w:tc>
          <w:tcPr/>
          <w:p>
            <w:pPr>
              <w:pStyle w:val="Compact"/>
            </w:pPr>
            <w:r>
              <w:t xml:space="preserve">April 2.3%; May approximately 2.8%</w:t>
            </w:r>
          </w:p>
        </w:tc>
      </w:tr>
      <w:tr>
        <w:tc>
          <w:tcPr/>
          <w:p>
            <w:pPr>
              <w:pStyle w:val="Compact"/>
            </w:pPr>
            <w:r>
              <w:t xml:space="preserve">Dispositions</w:t>
            </w:r>
          </w:p>
        </w:tc>
        <w:tc>
          <w:tcPr/>
          <w:p>
            <w:pPr>
              <w:pStyle w:val="Compact"/>
              <w:jc w:val="right"/>
            </w:pPr>
            <w:r>
              <w:t xml:space="preserve">$206M</w:t>
            </w:r>
          </w:p>
        </w:tc>
        <w:tc>
          <w:tcPr/>
          <w:p>
            <w:pPr>
              <w:pStyle w:val="Compact"/>
              <w:jc w:val="right"/>
            </w:pPr>
            <m:oMath>
              <m:r>
                <m:t>450</m:t>
              </m:r>
              <m:r>
                <m:t>M</m:t>
              </m:r>
              <m:r>
                <m:rPr>
                  <m:sty m:val="p"/>
                </m:rPr>
                <m:t>–</m:t>
              </m:r>
            </m:oMath>
            <w:r>
              <w:t xml:space="preserve">650M</w:t>
            </w:r>
          </w:p>
        </w:tc>
        <w:tc>
          <w:tcPr/>
          <w:p>
            <w:pPr>
              <w:pStyle w:val="Compact"/>
            </w:pPr>
            <w:r>
              <w:t xml:space="preserve">Management said 2Q could resemble 1Q</w:t>
            </w:r>
          </w:p>
        </w:tc>
      </w:tr>
      <w:tr>
        <w:tc>
          <w:tcPr/>
          <w:p>
            <w:pPr>
              <w:pStyle w:val="Compact"/>
            </w:pPr>
            <w:r>
              <w:t xml:space="preserve">Net debt/EBITDAre</w:t>
            </w:r>
          </w:p>
        </w:tc>
        <w:tc>
          <w:tcPr/>
          <w:p>
            <w:pPr>
              <w:pStyle w:val="Compact"/>
              <w:jc w:val="right"/>
            </w:pPr>
            <w:r>
              <w:t xml:space="preserve">5.6x</w:t>
            </w:r>
          </w:p>
        </w:tc>
        <w:tc>
          <w:tcPr/>
          <w:p>
            <w:pPr>
              <w:pStyle w:val="Compact"/>
              <w:jc w:val="right"/>
            </w:pPr>
            <w:r>
              <w:t xml:space="preserve">5.5x–6.0x target</w:t>
            </w:r>
          </w:p>
        </w:tc>
        <w:tc>
          <w:tcPr/>
          <w:p>
            <w:pPr>
              <w:pStyle w:val="Compact"/>
            </w:pPr>
            <w:r>
              <w:t xml:space="preserve">Capital returns should not materially weaken leverage</w:t>
            </w:r>
          </w:p>
        </w:tc>
      </w:tr>
    </w:tbl>
    <w:p>
      <w:pPr>
        <w:pStyle w:val="BodyText"/>
      </w:pPr>
      <w:r>
        <w:t xml:space="preserve">Invitation Homes does not need a major quarterly FFO beat for the report to be constructive. The more important outcome would be a better-quality earnings mix: positive same-store NOI, sustained occupancy, improving new leases, and controlled costs.</w:t>
      </w:r>
    </w:p>
    <w:bookmarkEnd w:id="10"/>
    <w:bookmarkStart w:id="12" w:name="X5b2372448f79d360c1c785ec8cd907ae0d4d21a"/>
    <w:p>
      <w:pPr>
        <w:pStyle w:val="Heading2"/>
      </w:pPr>
      <w:r>
        <w:t xml:space="preserve">1. Peak leasing season is the primary catalyst</w:t>
      </w:r>
    </w:p>
    <w:p>
      <w:pPr>
        <w:pStyle w:val="FirstParagraph"/>
      </w:pPr>
      <w:r>
        <w:t xml:space="preserve">The strongest part of the setup is the improvement reported after the first quarter:</w:t>
      </w:r>
    </w:p>
    <w:p>
      <w:pPr>
        <w:pStyle w:val="Compact"/>
        <w:numPr>
          <w:ilvl w:val="0"/>
          <w:numId w:val="1002"/>
        </w:numPr>
      </w:pPr>
      <w:r>
        <w:t xml:space="preserve">Same-store occupancy increased from a 96.3% first-quarter average to 97.1% in April and approximately 97.2% in May.</w:t>
      </w:r>
    </w:p>
    <w:p>
      <w:pPr>
        <w:pStyle w:val="Compact"/>
        <w:numPr>
          <w:ilvl w:val="0"/>
          <w:numId w:val="1002"/>
        </w:numPr>
      </w:pPr>
      <w:r>
        <w:t xml:space="preserve">New-lease rent growth returned to positive territory in both April and May.</w:t>
      </w:r>
    </w:p>
    <w:p>
      <w:pPr>
        <w:pStyle w:val="Compact"/>
        <w:numPr>
          <w:ilvl w:val="0"/>
          <w:numId w:val="1002"/>
        </w:numPr>
      </w:pPr>
      <w:r>
        <w:t xml:space="preserve">Blended rent growth accelerated from 1.6% in the first quarter to 2.3% in April and roughly 2.8% in May.</w:t>
      </w:r>
    </w:p>
    <w:p>
      <w:pPr>
        <w:pStyle w:val="Compact"/>
        <w:numPr>
          <w:ilvl w:val="0"/>
          <w:numId w:val="1002"/>
        </w:numPr>
      </w:pPr>
      <w:r>
        <w:t xml:space="preserve">Management said gross lead volume remained healthy and that available single-family rental supply had moderated from elevated early-year levels.</w:t>
      </w:r>
    </w:p>
    <w:p>
      <w:pPr>
        <w:pStyle w:val="FirstParagraph"/>
      </w:pPr>
      <w:r>
        <w:t xml:space="preserve">The quarter should therefore show much stronger sequential operating performance. The harder question is whether May represented the peak.</w:t>
      </w:r>
    </w:p>
    <w:p>
      <w:pPr>
        <w:pStyle w:val="BodyText"/>
      </w:pPr>
      <w:r>
        <w:t xml:space="preserve">Last year, leasing momentum topped out relatively early. A favorable report would show that 2026’s pricing improvement continued into June, with preliminary July trends remaining stable. If new-lease growth weakened again as the quarter progressed, the market may question whether the apparent supply improvement is durable.</w:t>
      </w:r>
    </w:p>
    <w:bookmarkStart w:id="11" w:name="most-important-leasing-disclosures"/>
    <w:p>
      <w:pPr>
        <w:pStyle w:val="Heading3"/>
      </w:pPr>
      <w:r>
        <w:t xml:space="preserve">Most important leasing disclosures</w:t>
      </w:r>
    </w:p>
    <w:p>
      <w:pPr>
        <w:pStyle w:val="FirstParagraph"/>
      </w:pPr>
      <w:r>
        <w:t xml:space="preserve">Investors should focus on:</w:t>
      </w:r>
    </w:p>
    <w:p>
      <w:pPr>
        <w:pStyle w:val="Compact"/>
        <w:numPr>
          <w:ilvl w:val="0"/>
          <w:numId w:val="1003"/>
        </w:numPr>
      </w:pPr>
      <w:r>
        <w:t xml:space="preserve">Quarterly and June new-lease rent growth.</w:t>
      </w:r>
    </w:p>
    <w:p>
      <w:pPr>
        <w:pStyle w:val="Compact"/>
        <w:numPr>
          <w:ilvl w:val="0"/>
          <w:numId w:val="1003"/>
        </w:numPr>
      </w:pPr>
      <w:r>
        <w:t xml:space="preserve">Preliminary July new-lease and blended growth.</w:t>
      </w:r>
    </w:p>
    <w:p>
      <w:pPr>
        <w:pStyle w:val="Compact"/>
        <w:numPr>
          <w:ilvl w:val="0"/>
          <w:numId w:val="1003"/>
        </w:numPr>
      </w:pPr>
      <w:r>
        <w:t xml:space="preserve">Average versus quarter-end occupancy.</w:t>
      </w:r>
    </w:p>
    <w:p>
      <w:pPr>
        <w:pStyle w:val="Compact"/>
        <w:numPr>
          <w:ilvl w:val="0"/>
          <w:numId w:val="1003"/>
        </w:numPr>
      </w:pPr>
      <w:r>
        <w:t xml:space="preserve">Renewal growth and retention.</w:t>
      </w:r>
    </w:p>
    <w:p>
      <w:pPr>
        <w:pStyle w:val="Compact"/>
        <w:numPr>
          <w:ilvl w:val="0"/>
          <w:numId w:val="1003"/>
        </w:numPr>
      </w:pPr>
      <w:r>
        <w:t xml:space="preserve">Concessions, particularly in build-to-rent communities.</w:t>
      </w:r>
    </w:p>
    <w:p>
      <w:pPr>
        <w:pStyle w:val="Compact"/>
        <w:numPr>
          <w:ilvl w:val="0"/>
          <w:numId w:val="1003"/>
        </w:numPr>
      </w:pPr>
      <w:r>
        <w:t xml:space="preserve">Market-level results in Texas, Florida and Phoenix.</w:t>
      </w:r>
    </w:p>
    <w:bookmarkEnd w:id="11"/>
    <w:bookmarkEnd w:id="12"/>
    <w:bookmarkStart w:id="13" w:name="X9291e5861ddf8409c0a60ae43b121ae335c2c08"/>
    <w:p>
      <w:pPr>
        <w:pStyle w:val="Heading2"/>
      </w:pPr>
      <w:r>
        <w:t xml:space="preserve">2. Sunbelt pricing remains the principal operating risk</w:t>
      </w:r>
    </w:p>
    <w:p>
      <w:pPr>
        <w:pStyle w:val="FirstParagraph"/>
      </w:pPr>
      <w:r>
        <w:t xml:space="preserve">Invitation Homes’ first-quarter portfolio-level figures masked substantial geographic differences.</w:t>
      </w:r>
    </w:p>
    <w:p>
      <w:pPr>
        <w:pStyle w:val="BodyText"/>
      </w:pPr>
      <w:r>
        <w:t xml:space="preserve">The Midwest and California produced positive new-lease growth, while several high-supply Sunbelt markets remained weak:</w:t>
      </w:r>
    </w:p>
    <w:p>
      <w:pPr>
        <w:pStyle w:val="Compact"/>
        <w:numPr>
          <w:ilvl w:val="0"/>
          <w:numId w:val="1004"/>
        </w:numPr>
      </w:pPr>
      <w:r>
        <w:t xml:space="preserve">Dallas and Houston new leases were down approximately 6%.</w:t>
      </w:r>
    </w:p>
    <w:p>
      <w:pPr>
        <w:pStyle w:val="Compact"/>
        <w:numPr>
          <w:ilvl w:val="0"/>
          <w:numId w:val="1004"/>
        </w:numPr>
      </w:pPr>
      <w:r>
        <w:t xml:space="preserve">Phoenix was down 5.8%.</w:t>
      </w:r>
    </w:p>
    <w:p>
      <w:pPr>
        <w:pStyle w:val="Compact"/>
        <w:numPr>
          <w:ilvl w:val="0"/>
          <w:numId w:val="1004"/>
        </w:numPr>
      </w:pPr>
      <w:r>
        <w:t xml:space="preserve">Tampa was down 5.6%.</w:t>
      </w:r>
    </w:p>
    <w:p>
      <w:pPr>
        <w:pStyle w:val="Compact"/>
        <w:numPr>
          <w:ilvl w:val="0"/>
          <w:numId w:val="1004"/>
        </w:numPr>
      </w:pPr>
      <w:r>
        <w:t xml:space="preserve">Las Vegas was down 4.5%.</w:t>
      </w:r>
    </w:p>
    <w:p>
      <w:pPr>
        <w:pStyle w:val="Compact"/>
        <w:numPr>
          <w:ilvl w:val="0"/>
          <w:numId w:val="1004"/>
        </w:numPr>
      </w:pPr>
      <w:r>
        <w:t xml:space="preserve">South Florida was down 4.1%.</w:t>
      </w:r>
    </w:p>
    <w:p>
      <w:pPr>
        <w:pStyle w:val="FirstParagraph"/>
      </w:pPr>
      <w:r>
        <w:t xml:space="preserve">Florida represents roughly one-third of portfolio revenue, while the broader Sunbelt accounts for most of the company’s homes. Accordingly, modest improvement in these markets can materially change consolidated growth—but persistent weakness can also limit the NOI recovery.</w:t>
      </w:r>
    </w:p>
    <w:p>
      <w:pPr>
        <w:pStyle w:val="BodyText"/>
      </w:pPr>
      <w:r>
        <w:t xml:space="preserve">The best outcome would be broad-based improvement rather than continued reliance on California and the Midwest. In particular, investors should listen for evidence that build-to-rent deliveries and “shadow” supply from smaller landlords are being absorbed in Phoenix, Tampa, Orlando, Atlanta and Texas.</w:t>
      </w:r>
    </w:p>
    <w:bookmarkEnd w:id="13"/>
    <w:bookmarkStart w:id="14" w:name="X92b5352e88cf6a1d32b538f0a1cb6ac8eea4a33"/>
    <w:p>
      <w:pPr>
        <w:pStyle w:val="Heading2"/>
      </w:pPr>
      <w:r>
        <w:t xml:space="preserve">3. Expenses determine whether better leasing reaches NOI</w:t>
      </w:r>
    </w:p>
    <w:p>
      <w:pPr>
        <w:pStyle w:val="FirstParagraph"/>
      </w:pPr>
      <w:r>
        <w:t xml:space="preserve">First-quarter same-store expense growth of 5.7% exceeded the full-year 3%–4% range. Management attributed this principally to an unusually easy first-quarter 2025 comparison, including mild weather and low turnover.</w:t>
      </w:r>
    </w:p>
    <w:p>
      <w:pPr>
        <w:pStyle w:val="BodyText"/>
      </w:pPr>
      <w:r>
        <w:t xml:space="preserve">The second-quarter report should begin validating that explanation.</w:t>
      </w:r>
    </w:p>
    <w:p>
      <w:pPr>
        <w:pStyle w:val="BodyText"/>
      </w:pPr>
      <w:r>
        <w:t xml:space="preserve">Key expense lines include:</w:t>
      </w:r>
    </w:p>
    <w:p>
      <w:pPr>
        <w:pStyle w:val="Compact"/>
        <w:numPr>
          <w:ilvl w:val="0"/>
          <w:numId w:val="1005"/>
        </w:numPr>
      </w:pPr>
      <w:r>
        <w:rPr>
          <w:b/>
          <w:bCs/>
        </w:rPr>
        <w:t xml:space="preserve">Repairs and maintenance:</w:t>
      </w:r>
      <w:r>
        <w:t xml:space="preserve"> </w:t>
      </w:r>
      <w:r>
        <w:t xml:space="preserve">up 15.3% in 1Q.</w:t>
      </w:r>
    </w:p>
    <w:p>
      <w:pPr>
        <w:pStyle w:val="Compact"/>
        <w:numPr>
          <w:ilvl w:val="0"/>
          <w:numId w:val="1005"/>
        </w:numPr>
      </w:pPr>
      <w:r>
        <w:rPr>
          <w:b/>
          <w:bCs/>
        </w:rPr>
        <w:t xml:space="preserve">Turnover expense:</w:t>
      </w:r>
      <w:r>
        <w:t xml:space="preserve"> </w:t>
      </w:r>
      <w:r>
        <w:t xml:space="preserve">up 17.2%.</w:t>
      </w:r>
    </w:p>
    <w:p>
      <w:pPr>
        <w:pStyle w:val="Compact"/>
        <w:numPr>
          <w:ilvl w:val="0"/>
          <w:numId w:val="1005"/>
        </w:numPr>
      </w:pPr>
      <w:r>
        <w:rPr>
          <w:b/>
          <w:bCs/>
        </w:rPr>
        <w:t xml:space="preserve">Utilities and property administration:</w:t>
      </w:r>
      <w:r>
        <w:t xml:space="preserve"> </w:t>
      </w:r>
      <w:r>
        <w:t xml:space="preserve">up 47.2%.</w:t>
      </w:r>
    </w:p>
    <w:p>
      <w:pPr>
        <w:pStyle w:val="Compact"/>
        <w:numPr>
          <w:ilvl w:val="0"/>
          <w:numId w:val="1005"/>
        </w:numPr>
      </w:pPr>
      <w:r>
        <w:rPr>
          <w:b/>
          <w:bCs/>
        </w:rPr>
        <w:t xml:space="preserve">Property taxes:</w:t>
      </w:r>
      <w:r>
        <w:t xml:space="preserve"> </w:t>
      </w:r>
      <w:r>
        <w:t xml:space="preserve">up 3.7%.</w:t>
      </w:r>
    </w:p>
    <w:p>
      <w:pPr>
        <w:pStyle w:val="Compact"/>
        <w:numPr>
          <w:ilvl w:val="0"/>
          <w:numId w:val="1005"/>
        </w:numPr>
      </w:pPr>
      <w:r>
        <w:rPr>
          <w:b/>
          <w:bCs/>
        </w:rPr>
        <w:t xml:space="preserve">Insurance:</w:t>
      </w:r>
      <w:r>
        <w:t xml:space="preserve"> </w:t>
      </w:r>
      <w:r>
        <w:t xml:space="preserve">down 5.3%, with the annual renewal tracking better than initially assumed.</w:t>
      </w:r>
    </w:p>
    <w:p>
      <w:pPr>
        <w:pStyle w:val="FirstParagraph"/>
      </w:pPr>
      <w:r>
        <w:t xml:space="preserve">Some normalization is expected, but higher occupancy and leasing activity do not automatically produce strong NOI if turnover, maintenance and administrative costs remain elevated. Full-year NOI guidance assumes expense growth moderates meaningfully during the remaining quarters.</w:t>
      </w:r>
    </w:p>
    <w:p>
      <w:pPr>
        <w:pStyle w:val="BodyText"/>
      </w:pPr>
      <w:r>
        <w:t xml:space="preserve">A constructive result would pair approximately 2% or better revenue growth with expense growth moving closer to the annual range. If expenses remain above 5%, the midpoint of same-store NOI guidance becomes more difficult to achieve without a stronger revenue acceleration.</w:t>
      </w:r>
    </w:p>
    <w:bookmarkEnd w:id="14"/>
    <w:bookmarkStart w:id="15" w:name="X9e2dfdb6fc66371bc91ec3d6412d354e27bbb3d"/>
    <w:p>
      <w:pPr>
        <w:pStyle w:val="Heading2"/>
      </w:pPr>
      <w:r>
        <w:t xml:space="preserve">4. Guidance: maintain is acceptable, a raise would be meaningful</w:t>
      </w:r>
    </w:p>
    <w:p>
      <w:pPr>
        <w:pStyle w:val="FirstParagraph"/>
      </w:pPr>
      <w:r>
        <w:t xml:space="preserve">Current full-year guidance is:</w:t>
      </w:r>
    </w:p>
    <w:p>
      <w:pPr>
        <w:pStyle w:val="Compact"/>
        <w:numPr>
          <w:ilvl w:val="0"/>
          <w:numId w:val="1006"/>
        </w:numPr>
      </w:pPr>
      <w:r>
        <w:rPr>
          <w:b/>
          <w:bCs/>
        </w:rPr>
        <w:t xml:space="preserve">Core FFO:</w:t>
      </w:r>
      <w:r>
        <w:t xml:space="preserve"> </w:t>
      </w:r>
      <m:oMath>
        <m:r>
          <m:t>1.90</m:t>
        </m:r>
        <m:r>
          <m:rPr>
            <m:sty m:val="p"/>
          </m:rPr>
          <m:t>–</m:t>
        </m:r>
      </m:oMath>
      <w:r>
        <w:t xml:space="preserve">1.98 per share.</w:t>
      </w:r>
    </w:p>
    <w:p>
      <w:pPr>
        <w:pStyle w:val="Compact"/>
        <w:numPr>
          <w:ilvl w:val="0"/>
          <w:numId w:val="1006"/>
        </w:numPr>
      </w:pPr>
      <w:r>
        <w:rPr>
          <w:b/>
          <w:bCs/>
        </w:rPr>
        <w:t xml:space="preserve">AFFO:</w:t>
      </w:r>
      <w:r>
        <w:t xml:space="preserve"> </w:t>
      </w:r>
      <m:oMath>
        <m:r>
          <m:t>1.60</m:t>
        </m:r>
        <m:r>
          <m:rPr>
            <m:sty m:val="p"/>
          </m:rPr>
          <m:t>–</m:t>
        </m:r>
      </m:oMath>
      <w:r>
        <w:t xml:space="preserve">1.68 per share.</w:t>
      </w:r>
    </w:p>
    <w:p>
      <w:pPr>
        <w:pStyle w:val="Compact"/>
        <w:numPr>
          <w:ilvl w:val="0"/>
          <w:numId w:val="1006"/>
        </w:numPr>
      </w:pPr>
      <w:r>
        <w:rPr>
          <w:b/>
          <w:bCs/>
        </w:rPr>
        <w:t xml:space="preserve">Same-store NOI growth:</w:t>
      </w:r>
      <w:r>
        <w:t xml:space="preserve"> </w:t>
      </w:r>
      <w:r>
        <w:t xml:space="preserve">0.3%–2.0%.</w:t>
      </w:r>
    </w:p>
    <w:p>
      <w:pPr>
        <w:pStyle w:val="Compact"/>
        <w:numPr>
          <w:ilvl w:val="0"/>
          <w:numId w:val="1006"/>
        </w:numPr>
      </w:pPr>
      <w:r>
        <w:rPr>
          <w:b/>
          <w:bCs/>
        </w:rPr>
        <w:t xml:space="preserve">Same-store revenue growth:</w:t>
      </w:r>
      <w:r>
        <w:t xml:space="preserve"> </w:t>
      </w:r>
      <w:r>
        <w:t xml:space="preserve">1.3%–2.5%.</w:t>
      </w:r>
    </w:p>
    <w:p>
      <w:pPr>
        <w:pStyle w:val="Compact"/>
        <w:numPr>
          <w:ilvl w:val="0"/>
          <w:numId w:val="1006"/>
        </w:numPr>
      </w:pPr>
      <w:r>
        <w:rPr>
          <w:b/>
          <w:bCs/>
        </w:rPr>
        <w:t xml:space="preserve">Same-store expense growth:</w:t>
      </w:r>
      <w:r>
        <w:t xml:space="preserve"> </w:t>
      </w:r>
      <w:r>
        <w:t xml:space="preserve">3.0%–4.0%.</w:t>
      </w:r>
    </w:p>
    <w:p>
      <w:pPr>
        <w:pStyle w:val="FirstParagraph"/>
      </w:pPr>
      <w:r>
        <w:t xml:space="preserve">Management maintained this outlook after the first quarter despite several favorable developments:</w:t>
      </w:r>
    </w:p>
    <w:p>
      <w:pPr>
        <w:pStyle w:val="Compact"/>
        <w:numPr>
          <w:ilvl w:val="0"/>
          <w:numId w:val="1007"/>
        </w:numPr>
      </w:pPr>
      <w:r>
        <w:t xml:space="preserve">Dispositions were ahead of plan.</w:t>
      </w:r>
    </w:p>
    <w:p>
      <w:pPr>
        <w:pStyle w:val="Compact"/>
        <w:numPr>
          <w:ilvl w:val="0"/>
          <w:numId w:val="1007"/>
        </w:numPr>
      </w:pPr>
      <w:r>
        <w:t xml:space="preserve">The insurance renewal was better than initially expected.</w:t>
      </w:r>
    </w:p>
    <w:p>
      <w:pPr>
        <w:pStyle w:val="Compact"/>
        <w:numPr>
          <w:ilvl w:val="0"/>
          <w:numId w:val="1007"/>
        </w:numPr>
      </w:pPr>
      <w:r>
        <w:t xml:space="preserve">Occupancy and lease pricing were improving.</w:t>
      </w:r>
    </w:p>
    <w:p>
      <w:pPr>
        <w:pStyle w:val="Compact"/>
        <w:numPr>
          <w:ilvl w:val="0"/>
          <w:numId w:val="1007"/>
        </w:numPr>
      </w:pPr>
      <w:r>
        <w:t xml:space="preserve">A large portion of the original buyback was completed early in the year.</w:t>
      </w:r>
    </w:p>
    <w:p>
      <w:pPr>
        <w:pStyle w:val="FirstParagraph"/>
      </w:pPr>
      <w:r>
        <w:t xml:space="preserve">However, management also noted that the initial budget contemplated substantial share repurchases, reducing the incremental upside to per-share guidance. Accelerated dispositions can likewise dilute property-level earnings even if the proceeds are recycled accretively.</w:t>
      </w:r>
    </w:p>
    <w:p>
      <w:pPr>
        <w:pStyle w:val="BodyText"/>
      </w:pPr>
      <w:r>
        <w:rPr>
          <w:b/>
          <w:bCs/>
        </w:rPr>
        <w:t xml:space="preserve">Base case:</w:t>
      </w:r>
      <w:r>
        <w:t xml:space="preserve"> </w:t>
      </w:r>
      <w:r>
        <w:t xml:space="preserve">guidance is maintained, potentially with tighter ranges or revised operating assumptions.</w:t>
      </w:r>
    </w:p>
    <w:p>
      <w:pPr>
        <w:pStyle w:val="BodyText"/>
      </w:pPr>
      <w:r>
        <w:rPr>
          <w:b/>
          <w:bCs/>
        </w:rPr>
        <w:t xml:space="preserve">Bull case:</w:t>
      </w:r>
      <w:r>
        <w:t xml:space="preserve"> </w:t>
      </w:r>
      <w:r>
        <w:t xml:space="preserve">management raises the low end or midpoint of Core FFO/AFFO and same-store NOI guidance based on better leasing, insurance savings and buybacks.</w:t>
      </w:r>
    </w:p>
    <w:p>
      <w:pPr>
        <w:pStyle w:val="BodyText"/>
      </w:pPr>
      <w:r>
        <w:rPr>
          <w:b/>
          <w:bCs/>
        </w:rPr>
        <w:t xml:space="preserve">Warning sign:</w:t>
      </w:r>
      <w:r>
        <w:t xml:space="preserve"> </w:t>
      </w:r>
      <w:r>
        <w:t xml:space="preserve">guidance is maintained but underlying same-store assumptions are reduced, with financial engineering or non-property income offsetting weaker operations.</w:t>
      </w:r>
    </w:p>
    <w:bookmarkEnd w:id="15"/>
    <w:bookmarkStart w:id="16" w:name="X2cb2ec099c3ed88508896992e051247fcb430be"/>
    <w:p>
      <w:pPr>
        <w:pStyle w:val="Heading2"/>
      </w:pPr>
      <w:r>
        <w:t xml:space="preserve">5. Disposition-and-buyback strategy remains central</w:t>
      </w:r>
    </w:p>
    <w:p>
      <w:pPr>
        <w:pStyle w:val="FirstParagraph"/>
      </w:pPr>
      <w:r>
        <w:t xml:space="preserve">Invitation Homes sold 483 wholly owned homes for $206 million in the first quarter, at an average price of approximately $427,000. Management said in June that second-quarter dispositions would probably resemble the first quarter.</w:t>
      </w:r>
    </w:p>
    <w:p>
      <w:pPr>
        <w:pStyle w:val="BodyText"/>
      </w:pPr>
      <w:r>
        <w:t xml:space="preserve">If that occurred, first-half sales would already approach $400 million against full-year guidance of</w:t>
      </w:r>
      <w:r>
        <w:t xml:space="preserve"> </w:t>
      </w:r>
      <m:oMath>
        <m:r>
          <m:t>450</m:t>
        </m:r>
        <m:r>
          <m:t>m</m:t>
        </m:r>
        <m:r>
          <m:t>i</m:t>
        </m:r>
        <m:r>
          <m:t>l</m:t>
        </m:r>
        <m:r>
          <m:t>l</m:t>
        </m:r>
        <m:r>
          <m:t>i</m:t>
        </m:r>
        <m:r>
          <m:t>o</m:t>
        </m:r>
        <m:r>
          <m:t>n</m:t>
        </m:r>
        <m:r>
          <m:rPr>
            <m:sty m:val="p"/>
          </m:rPr>
          <m:t>–</m:t>
        </m:r>
      </m:oMath>
      <w:r>
        <w:t xml:space="preserve">650 million. An increase in disposition guidance is therefore possible.</w:t>
      </w:r>
    </w:p>
    <w:p>
      <w:pPr>
        <w:pStyle w:val="BodyText"/>
      </w:pPr>
      <w:r>
        <w:t xml:space="preserve">The logic is straightforward:</w:t>
      </w:r>
    </w:p>
    <w:p>
      <w:pPr>
        <w:pStyle w:val="Compact"/>
        <w:numPr>
          <w:ilvl w:val="0"/>
          <w:numId w:val="1008"/>
        </w:numPr>
      </w:pPr>
      <w:r>
        <w:t xml:space="preserve">Sell lower-quality or non-core homes into the homeowner market.</w:t>
      </w:r>
    </w:p>
    <w:p>
      <w:pPr>
        <w:pStyle w:val="Compact"/>
        <w:numPr>
          <w:ilvl w:val="0"/>
          <w:numId w:val="1008"/>
        </w:numPr>
      </w:pPr>
      <w:r>
        <w:t xml:space="preserve">Monetize assets at values above the public market’s implied per-home valuation.</w:t>
      </w:r>
    </w:p>
    <w:p>
      <w:pPr>
        <w:pStyle w:val="Compact"/>
        <w:numPr>
          <w:ilvl w:val="0"/>
          <w:numId w:val="1008"/>
        </w:numPr>
      </w:pPr>
      <w:r>
        <w:t xml:space="preserve">Repurchase shares when the stock trades below management’s assessment of underlying asset value.</w:t>
      </w:r>
    </w:p>
    <w:p>
      <w:pPr>
        <w:pStyle w:val="FirstParagraph"/>
      </w:pPr>
      <w:r>
        <w:t xml:space="preserve">The first $500 million authorization was completed at an average price of $25.86, retiring more than 19 million shares. The board approved another $500 million authorization in April.</w:t>
      </w:r>
    </w:p>
    <w:p>
      <w:pPr>
        <w:pStyle w:val="BodyText"/>
      </w:pPr>
      <w:r>
        <w:t xml:space="preserve">The question is whether Invitation Homes remained aggressive after the stock recovered. INVH closed at $30.06 on July 28, up roughly 23% from its March low. At that price, it trades around</w:t>
      </w:r>
      <w:r>
        <w:t xml:space="preserve"> </w:t>
      </w:r>
      <w:r>
        <w:rPr>
          <w:b/>
          <w:bCs/>
        </w:rPr>
        <w:t xml:space="preserve">15.5 times</w:t>
      </w:r>
      <w:r>
        <w:t xml:space="preserve"> </w:t>
      </w:r>
      <w:r>
        <w:t xml:space="preserve">the midpoint of 2026 Core FFO, with an AFFO yield of approximately</w:t>
      </w:r>
      <w:r>
        <w:t xml:space="preserve"> </w:t>
      </w:r>
      <w:r>
        <w:rPr>
          <w:b/>
          <w:bCs/>
        </w:rPr>
        <w:t xml:space="preserve">5.5%</w:t>
      </w:r>
      <w:r>
        <w:t xml:space="preserve"> </w:t>
      </w:r>
      <w:r>
        <w:t xml:space="preserve">and a dividend yield near</w:t>
      </w:r>
      <w:r>
        <w:t xml:space="preserve"> </w:t>
      </w:r>
      <w:r>
        <w:rPr>
          <w:b/>
          <w:bCs/>
        </w:rPr>
        <w:t xml:space="preserve">4.0%</w:t>
      </w:r>
      <w:r>
        <w:t xml:space="preserve">.</w:t>
      </w:r>
    </w:p>
    <w:p>
      <w:pPr>
        <w:pStyle w:val="BodyText"/>
      </w:pPr>
      <w:r>
        <w:t xml:space="preserve">Buybacks are still potentially accretive, but clearly less compelling than purchases made around</w:t>
      </w:r>
      <w:r>
        <w:t xml:space="preserve"> </w:t>
      </w:r>
      <m:oMath>
        <m:r>
          <m:t>25</m:t>
        </m:r>
        <m:r>
          <m:rPr>
            <m:sty m:val="p"/>
          </m:rPr>
          <m:t>–</m:t>
        </m:r>
      </m:oMath>
      <w:r>
        <w:t xml:space="preserve">26. Investors should watch:</w:t>
      </w:r>
    </w:p>
    <w:p>
      <w:pPr>
        <w:pStyle w:val="Compact"/>
        <w:numPr>
          <w:ilvl w:val="0"/>
          <w:numId w:val="1009"/>
        </w:numPr>
      </w:pPr>
      <w:r>
        <w:t xml:space="preserve">Shares repurchased during and after the quarter.</w:t>
      </w:r>
    </w:p>
    <w:p>
      <w:pPr>
        <w:pStyle w:val="Compact"/>
        <w:numPr>
          <w:ilvl w:val="0"/>
          <w:numId w:val="1009"/>
        </w:numPr>
      </w:pPr>
      <w:r>
        <w:t xml:space="preserve">Average repurchase price.</w:t>
      </w:r>
    </w:p>
    <w:p>
      <w:pPr>
        <w:pStyle w:val="Compact"/>
        <w:numPr>
          <w:ilvl w:val="0"/>
          <w:numId w:val="1009"/>
        </w:numPr>
      </w:pPr>
      <w:r>
        <w:t xml:space="preserve">Remaining authorization.</w:t>
      </w:r>
    </w:p>
    <w:p>
      <w:pPr>
        <w:pStyle w:val="Compact"/>
        <w:numPr>
          <w:ilvl w:val="0"/>
          <w:numId w:val="1009"/>
        </w:numPr>
      </w:pPr>
      <w:r>
        <w:t xml:space="preserve">Disposition proceeds and cap rates.</w:t>
      </w:r>
    </w:p>
    <w:p>
      <w:pPr>
        <w:pStyle w:val="Compact"/>
        <w:numPr>
          <w:ilvl w:val="0"/>
          <w:numId w:val="1009"/>
        </w:numPr>
      </w:pPr>
      <w:r>
        <w:t xml:space="preserve">Whether management now sees acquisitions, lending or development as more attractive uses of capital.</w:t>
      </w:r>
    </w:p>
    <w:bookmarkEnd w:id="16"/>
    <w:bookmarkStart w:id="17" w:name="X17c77acdeeae1675827edb50f06656597b75486"/>
    <w:p>
      <w:pPr>
        <w:pStyle w:val="Heading2"/>
      </w:pPr>
      <w:r>
        <w:t xml:space="preserve">6. Balance sheet and July debt issuance</w:t>
      </w:r>
    </w:p>
    <w:p>
      <w:pPr>
        <w:pStyle w:val="FirstParagraph"/>
      </w:pPr>
      <w:r>
        <w:t xml:space="preserve">At March 31, Invitation Homes had:</w:t>
      </w:r>
    </w:p>
    <w:p>
      <w:pPr>
        <w:pStyle w:val="Compact"/>
        <w:numPr>
          <w:ilvl w:val="0"/>
          <w:numId w:val="1010"/>
        </w:numPr>
      </w:pPr>
      <w:r>
        <w:t xml:space="preserve">$1.3 billion of liquidity.</w:t>
      </w:r>
    </w:p>
    <w:p>
      <w:pPr>
        <w:pStyle w:val="Compact"/>
        <w:numPr>
          <w:ilvl w:val="0"/>
          <w:numId w:val="1010"/>
        </w:numPr>
      </w:pPr>
      <w:r>
        <w:t xml:space="preserve">Net debt/adjusted EBITDAre of 5.6x.</w:t>
      </w:r>
    </w:p>
    <w:p>
      <w:pPr>
        <w:pStyle w:val="Compact"/>
        <w:numPr>
          <w:ilvl w:val="0"/>
          <w:numId w:val="1010"/>
        </w:numPr>
      </w:pPr>
      <w:r>
        <w:t xml:space="preserve">Approximately 89.5% fixed-rate or swapped-to-fixed debt.</w:t>
      </w:r>
    </w:p>
    <w:p>
      <w:pPr>
        <w:pStyle w:val="Compact"/>
        <w:numPr>
          <w:ilvl w:val="0"/>
          <w:numId w:val="1010"/>
        </w:numPr>
      </w:pPr>
      <w:r>
        <w:t xml:space="preserve">No final debt maturity before June 2027.</w:t>
      </w:r>
    </w:p>
    <w:p>
      <w:pPr>
        <w:pStyle w:val="Compact"/>
        <w:numPr>
          <w:ilvl w:val="0"/>
          <w:numId w:val="1010"/>
        </w:numPr>
      </w:pPr>
      <w:r>
        <w:t xml:space="preserve">Roughly 90% of wholly owned homes unencumbered.</w:t>
      </w:r>
    </w:p>
    <w:p>
      <w:pPr>
        <w:pStyle w:val="FirstParagraph"/>
      </w:pPr>
      <w:r>
        <w:t xml:space="preserve">In July, the operating partnership issued</w:t>
      </w:r>
      <w:r>
        <w:t xml:space="preserve"> </w:t>
      </w:r>
      <w:r>
        <w:rPr>
          <w:b/>
          <w:bCs/>
        </w:rPr>
        <w:t xml:space="preserve">$500 million of 4.95% senior unsecured notes due February 2032</w:t>
      </w:r>
      <w:r>
        <w:t xml:space="preserve">. The issuance improves term funding and adds fixed-rate capital, but investors should ask how the proceeds were deployed—particularly whether they reduced revolver borrowings, funded maturities, or supported other capital-allocation activity.</w:t>
      </w:r>
    </w:p>
    <w:p>
      <w:pPr>
        <w:pStyle w:val="BodyText"/>
      </w:pPr>
      <w:r>
        <w:t xml:space="preserve">The balance sheet does not appear to be the immediate risk. The issue is maintaining discipline while simultaneously funding dispositions, buybacks, development, construction lending and the ResiBuilt platform.</w:t>
      </w:r>
    </w:p>
    <w:bookmarkEnd w:id="17"/>
    <w:bookmarkStart w:id="18" w:name="X47018f2a70f1965ea38b34ead695e465f651367"/>
    <w:p>
      <w:pPr>
        <w:pStyle w:val="Heading2"/>
      </w:pPr>
      <w:r>
        <w:t xml:space="preserve">7. ResiBuilt and fee-based businesses are secondary—but increasingly relevant</w:t>
      </w:r>
    </w:p>
    <w:p>
      <w:pPr>
        <w:pStyle w:val="FirstParagraph"/>
      </w:pPr>
      <w:r>
        <w:t xml:space="preserve">The core rental portfolio will drive the stock reaction, but Invitation Homes is building several capital-light or alternative-return businesses:</w:t>
      </w:r>
    </w:p>
    <w:p>
      <w:pPr>
        <w:pStyle w:val="Compact"/>
        <w:numPr>
          <w:ilvl w:val="0"/>
          <w:numId w:val="1011"/>
        </w:numPr>
      </w:pPr>
      <w:r>
        <w:t xml:space="preserve">Third-party property management.</w:t>
      </w:r>
    </w:p>
    <w:p>
      <w:pPr>
        <w:pStyle w:val="Compact"/>
        <w:numPr>
          <w:ilvl w:val="0"/>
          <w:numId w:val="1011"/>
        </w:numPr>
      </w:pPr>
      <w:r>
        <w:t xml:space="preserve">ResiBuilt fee homebuilding.</w:t>
      </w:r>
    </w:p>
    <w:p>
      <w:pPr>
        <w:pStyle w:val="Compact"/>
        <w:numPr>
          <w:ilvl w:val="0"/>
          <w:numId w:val="1011"/>
        </w:numPr>
      </w:pPr>
      <w:r>
        <w:t xml:space="preserve">Construction lending.</w:t>
      </w:r>
    </w:p>
    <w:p>
      <w:pPr>
        <w:pStyle w:val="Compact"/>
        <w:numPr>
          <w:ilvl w:val="0"/>
          <w:numId w:val="1011"/>
        </w:numPr>
      </w:pPr>
      <w:r>
        <w:t xml:space="preserve">Joint-venture investment and management.</w:t>
      </w:r>
    </w:p>
    <w:p>
      <w:pPr>
        <w:pStyle w:val="FirstParagraph"/>
      </w:pPr>
      <w:r>
        <w:t xml:space="preserve">ResiBuilt delivered more than 300 homes to third-party customers during the first quarter. Management described the acquisition as modestly accretive to 2026 AFFO and is initially emphasizing fee building rather than constructing large volumes for Invitation Homes’ balance sheet.</w:t>
      </w:r>
    </w:p>
    <w:p>
      <w:pPr>
        <w:pStyle w:val="BodyText"/>
      </w:pPr>
      <w:r>
        <w:t xml:space="preserve">The construction lending platform had approximately $280 million of commitments across six projects as of June, with a longer-term ambition of up to $1 billion.</w:t>
      </w:r>
    </w:p>
    <w:p>
      <w:pPr>
        <w:pStyle w:val="BodyText"/>
      </w:pPr>
      <w:r>
        <w:t xml:space="preserve">Investors should look for:</w:t>
      </w:r>
    </w:p>
    <w:p>
      <w:pPr>
        <w:pStyle w:val="Compact"/>
        <w:numPr>
          <w:ilvl w:val="0"/>
          <w:numId w:val="1012"/>
        </w:numPr>
      </w:pPr>
      <w:r>
        <w:t xml:space="preserve">ResiBuilt backlog and margins.</w:t>
      </w:r>
    </w:p>
    <w:p>
      <w:pPr>
        <w:pStyle w:val="Compact"/>
        <w:numPr>
          <w:ilvl w:val="0"/>
          <w:numId w:val="1012"/>
        </w:numPr>
      </w:pPr>
      <w:r>
        <w:t xml:space="preserve">Construction lending commitments versus actual funding.</w:t>
      </w:r>
    </w:p>
    <w:p>
      <w:pPr>
        <w:pStyle w:val="Compact"/>
        <w:numPr>
          <w:ilvl w:val="0"/>
          <w:numId w:val="1012"/>
        </w:numPr>
      </w:pPr>
      <w:r>
        <w:t xml:space="preserve">Credit and counterparty protections.</w:t>
      </w:r>
    </w:p>
    <w:p>
      <w:pPr>
        <w:pStyle w:val="Compact"/>
        <w:numPr>
          <w:ilvl w:val="0"/>
          <w:numId w:val="1012"/>
        </w:numPr>
      </w:pPr>
      <w:r>
        <w:t xml:space="preserve">Incremental third-party management mandates.</w:t>
      </w:r>
    </w:p>
    <w:p>
      <w:pPr>
        <w:pStyle w:val="Compact"/>
        <w:numPr>
          <w:ilvl w:val="0"/>
          <w:numId w:val="1012"/>
        </w:numPr>
      </w:pPr>
      <w:r>
        <w:t xml:space="preserve">Clear disclosure separating recurring fee income from lower-margin homebuilding revenue.</w:t>
      </w:r>
    </w:p>
    <w:p>
      <w:pPr>
        <w:pStyle w:val="FirstParagraph"/>
      </w:pPr>
      <w:r>
        <w:t xml:space="preserve">These businesses could improve growth without requiring large acquisitions, but they also add complexity. The market will likely reward them only after management demonstrates durable earnings and appropriate risk controls.</w:t>
      </w:r>
    </w:p>
    <w:bookmarkEnd w:id="18"/>
    <w:bookmarkStart w:id="22" w:name="likely-stock-reaction-framework"/>
    <w:p>
      <w:pPr>
        <w:pStyle w:val="Heading2"/>
      </w:pPr>
      <w:r>
        <w:t xml:space="preserve">Likely stock-reaction framework</w:t>
      </w:r>
    </w:p>
    <w:bookmarkStart w:id="19" w:name="bullish-report"/>
    <w:p>
      <w:pPr>
        <w:pStyle w:val="Heading3"/>
      </w:pPr>
      <w:r>
        <w:t xml:space="preserve">Bullish report</w:t>
      </w:r>
    </w:p>
    <w:p>
      <w:pPr>
        <w:pStyle w:val="Compact"/>
        <w:numPr>
          <w:ilvl w:val="0"/>
          <w:numId w:val="1013"/>
        </w:numPr>
      </w:pPr>
      <w:r>
        <w:t xml:space="preserve">Occupancy remains around or above 97%.</w:t>
      </w:r>
    </w:p>
    <w:p>
      <w:pPr>
        <w:pStyle w:val="Compact"/>
        <w:numPr>
          <w:ilvl w:val="0"/>
          <w:numId w:val="1013"/>
        </w:numPr>
      </w:pPr>
      <w:r>
        <w:t xml:space="preserve">New-lease rent growth stays positive and improves through June or July.</w:t>
      </w:r>
    </w:p>
    <w:p>
      <w:pPr>
        <w:pStyle w:val="Compact"/>
        <w:numPr>
          <w:ilvl w:val="0"/>
          <w:numId w:val="1013"/>
        </w:numPr>
      </w:pPr>
      <w:r>
        <w:t xml:space="preserve">Sunbelt markets show broad-based recovery.</w:t>
      </w:r>
    </w:p>
    <w:p>
      <w:pPr>
        <w:pStyle w:val="Compact"/>
        <w:numPr>
          <w:ilvl w:val="0"/>
          <w:numId w:val="1013"/>
        </w:numPr>
      </w:pPr>
      <w:r>
        <w:t xml:space="preserve">Same-store expense growth moves toward 3%–4%.</w:t>
      </w:r>
    </w:p>
    <w:p>
      <w:pPr>
        <w:pStyle w:val="Compact"/>
        <w:numPr>
          <w:ilvl w:val="0"/>
          <w:numId w:val="1013"/>
        </w:numPr>
      </w:pPr>
      <w:r>
        <w:t xml:space="preserve">Same-store NOI turns clearly positive.</w:t>
      </w:r>
    </w:p>
    <w:p>
      <w:pPr>
        <w:pStyle w:val="Compact"/>
        <w:numPr>
          <w:ilvl w:val="0"/>
          <w:numId w:val="1013"/>
        </w:numPr>
      </w:pPr>
      <w:r>
        <w:t xml:space="preserve">Core FFO/AFFO guidance is raised.</w:t>
      </w:r>
    </w:p>
    <w:p>
      <w:pPr>
        <w:pStyle w:val="Compact"/>
        <w:numPr>
          <w:ilvl w:val="0"/>
          <w:numId w:val="1013"/>
        </w:numPr>
      </w:pPr>
      <w:r>
        <w:t xml:space="preserve">Additional buybacks are completed at an attractive discount to asset value.</w:t>
      </w:r>
    </w:p>
    <w:bookmarkEnd w:id="19"/>
    <w:bookmarkStart w:id="20" w:name="neutral-report"/>
    <w:p>
      <w:pPr>
        <w:pStyle w:val="Heading3"/>
      </w:pPr>
      <w:r>
        <w:t xml:space="preserve">Neutral report</w:t>
      </w:r>
    </w:p>
    <w:p>
      <w:pPr>
        <w:pStyle w:val="Compact"/>
        <w:numPr>
          <w:ilvl w:val="0"/>
          <w:numId w:val="1014"/>
        </w:numPr>
      </w:pPr>
      <w:r>
        <w:t xml:space="preserve">Core FFO remains near the first-quarter run rate.</w:t>
      </w:r>
    </w:p>
    <w:p>
      <w:pPr>
        <w:pStyle w:val="Compact"/>
        <w:numPr>
          <w:ilvl w:val="0"/>
          <w:numId w:val="1014"/>
        </w:numPr>
      </w:pPr>
      <w:r>
        <w:t xml:space="preserve">Occupancy is solid but new-lease growth plateaus.</w:t>
      </w:r>
    </w:p>
    <w:p>
      <w:pPr>
        <w:pStyle w:val="Compact"/>
        <w:numPr>
          <w:ilvl w:val="0"/>
          <w:numId w:val="1014"/>
        </w:numPr>
      </w:pPr>
      <w:r>
        <w:t xml:space="preserve">Expense growth improves only gradually.</w:t>
      </w:r>
    </w:p>
    <w:p>
      <w:pPr>
        <w:pStyle w:val="Compact"/>
        <w:numPr>
          <w:ilvl w:val="0"/>
          <w:numId w:val="1014"/>
        </w:numPr>
      </w:pPr>
      <w:r>
        <w:t xml:space="preserve">Guidance is maintained.</w:t>
      </w:r>
    </w:p>
    <w:p>
      <w:pPr>
        <w:pStyle w:val="Compact"/>
        <w:numPr>
          <w:ilvl w:val="0"/>
          <w:numId w:val="1014"/>
        </w:numPr>
      </w:pPr>
      <w:r>
        <w:t xml:space="preserve">Dispositions remain elevated, with limited additional buyback activity at the higher share price.</w:t>
      </w:r>
    </w:p>
    <w:bookmarkEnd w:id="20"/>
    <w:bookmarkStart w:id="21" w:name="bearish-report"/>
    <w:p>
      <w:pPr>
        <w:pStyle w:val="Heading3"/>
      </w:pPr>
      <w:r>
        <w:t xml:space="preserve">Bearish report</w:t>
      </w:r>
    </w:p>
    <w:p>
      <w:pPr>
        <w:pStyle w:val="Compact"/>
        <w:numPr>
          <w:ilvl w:val="0"/>
          <w:numId w:val="1015"/>
        </w:numPr>
      </w:pPr>
      <w:r>
        <w:t xml:space="preserve">Occupancy falls materially after May.</w:t>
      </w:r>
    </w:p>
    <w:p>
      <w:pPr>
        <w:pStyle w:val="Compact"/>
        <w:numPr>
          <w:ilvl w:val="0"/>
          <w:numId w:val="1015"/>
        </w:numPr>
      </w:pPr>
      <w:r>
        <w:t xml:space="preserve">New-lease pricing returns to negative territory.</w:t>
      </w:r>
    </w:p>
    <w:p>
      <w:pPr>
        <w:pStyle w:val="Compact"/>
        <w:numPr>
          <w:ilvl w:val="0"/>
          <w:numId w:val="1015"/>
        </w:numPr>
      </w:pPr>
      <w:r>
        <w:t xml:space="preserve">Florida, Texas and Phoenix remain under significant supply pressure.</w:t>
      </w:r>
    </w:p>
    <w:p>
      <w:pPr>
        <w:pStyle w:val="Compact"/>
        <w:numPr>
          <w:ilvl w:val="0"/>
          <w:numId w:val="1015"/>
        </w:numPr>
      </w:pPr>
      <w:r>
        <w:t xml:space="preserve">Expenses stay above 5%, preventing positive NOI growth.</w:t>
      </w:r>
    </w:p>
    <w:p>
      <w:pPr>
        <w:pStyle w:val="Compact"/>
        <w:numPr>
          <w:ilvl w:val="0"/>
          <w:numId w:val="1015"/>
        </w:numPr>
      </w:pPr>
      <w:r>
        <w:t xml:space="preserve">Management lowers same-store assumptions or the lower end of guidance.</w:t>
      </w:r>
    </w:p>
    <w:p>
      <w:pPr>
        <w:pStyle w:val="Compact"/>
        <w:numPr>
          <w:ilvl w:val="0"/>
          <w:numId w:val="1015"/>
        </w:numPr>
      </w:pPr>
      <w:r>
        <w:t xml:space="preserve">Disposition-driven portfolio shrinkage is not offset by enough per-share accretion.</w:t>
      </w:r>
    </w:p>
    <w:p>
      <w:pPr>
        <w:pStyle w:val="Compact"/>
        <w:numPr>
          <w:ilvl w:val="0"/>
          <w:numId w:val="1015"/>
        </w:numPr>
      </w:pPr>
      <w:r>
        <w:t xml:space="preserve">Regulatory uncertainty delays development or third-party business opportunities.</w:t>
      </w:r>
    </w:p>
    <w:bookmarkEnd w:id="21"/>
    <w:bookmarkEnd w:id="22"/>
    <w:bookmarkStart w:id="23" w:name="bottom-line"/>
    <w:p>
      <w:pPr>
        <w:pStyle w:val="Heading2"/>
      </w:pPr>
      <w:r>
        <w:t xml:space="preserve">Bottom line</w:t>
      </w:r>
    </w:p>
    <w:p>
      <w:pPr>
        <w:pStyle w:val="FirstParagraph"/>
      </w:pPr>
      <w:r>
        <w:t xml:space="preserve">The setup is favorable but no longer deeply discounted. The stock has recovered meaningfully since March, and management already disclosed strong April and May leasing trends. Investors are therefore likely to require confirmation that the improvement lasted through June and into July.</w:t>
      </w:r>
    </w:p>
    <w:p>
      <w:pPr>
        <w:pStyle w:val="BodyText"/>
      </w:pPr>
      <w:r>
        <w:t xml:space="preserve">The cleanest positive thesis is:</w:t>
      </w:r>
    </w:p>
    <w:p>
      <w:pPr>
        <w:pStyle w:val="BlockText"/>
      </w:pPr>
      <w:r>
        <w:rPr>
          <w:b/>
          <w:bCs/>
        </w:rPr>
        <w:t xml:space="preserve">Occupancy above 97% plus sustained positive new-lease growth plus normalizing expenses produces a second-half same-store NOI inflection, while dispositions and buybacks support per-share value.</w:t>
      </w:r>
    </w:p>
    <w:p>
      <w:pPr>
        <w:pStyle w:val="FirstParagraph"/>
      </w:pPr>
      <w:r>
        <w:t xml:space="preserve">The main risk is that May marked peak leasing momentum and that weak Sunbelt pricing, elevated property expenses and asset sales leave underlying growth subdued. For this report, the monthly leasing data and updated guidance will matter more than the headline GAAP earnings figure.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2026-07-29T02:00:44Z</dcterms:created>
  <dcterms:modified xsi:type="dcterms:W3CDTF">2026-07-29T02:00:44Z</dcterms:modified>
</cp:coreProperties>
</file>

<file path=docProps/custom.xml><?xml version="1.0" encoding="utf-8"?>
<Properties xmlns="http://schemas.openxmlformats.org/officeDocument/2006/custom-properties" xmlns:vt="http://schemas.openxmlformats.org/officeDocument/2006/docPropsVTypes"/>
</file>