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19606220f48e775a65e605a5dfd6687fb42115"/>
    <w:p>
      <w:pPr>
        <w:pStyle w:val="Heading1"/>
      </w:pPr>
      <w:r>
        <w:t xml:space="preserve">Invitation Homes (NYSE: INVH) — 2Q 2026 Earnings Preview</w:t>
      </w:r>
    </w:p>
    <w:p>
      <w:pPr>
        <w:pStyle w:val="BlockText"/>
      </w:pPr>
      <w:r>
        <w:rPr>
          <w:b/>
          <w:bCs/>
        </w:rPr>
        <w:t xml:space="preserve">Date note:</w:t>
      </w:r>
      <w:r>
        <w:t xml:space="preserve"> </w:t>
      </w:r>
      <w:r>
        <w:t xml:space="preserve">The request describes the event as “tomorrow,” but both the stated event date and today’s date are</w:t>
      </w:r>
      <w:r>
        <w:t xml:space="preserve"> </w:t>
      </w:r>
      <w:r>
        <w:rPr>
          <w:b/>
          <w:bCs/>
        </w:rPr>
        <w:t xml:space="preserve">July 29, 2026</w:t>
      </w:r>
      <w:r>
        <w:t xml:space="preserve">. This preview treats the upcoming 2Q 2026 earnings disclosure/call as the relevant event.</w:t>
      </w:r>
    </w:p>
    <w:bookmarkStart w:id="9" w:name="bottom-line"/>
    <w:p>
      <w:pPr>
        <w:pStyle w:val="Heading2"/>
      </w:pPr>
      <w:r>
        <w:t xml:space="preserve">Bottom line</w:t>
      </w:r>
    </w:p>
    <w:p>
      <w:pPr>
        <w:pStyle w:val="FirstParagraph"/>
      </w:pPr>
      <w:r>
        <w:t xml:space="preserve">Invitation Homes enters 2Q with a substantially improved near-term setup versus the first quarter:</w:t>
      </w:r>
      <w:r>
        <w:t xml:space="preserve"> </w:t>
      </w:r>
      <w:r>
        <w:rPr>
          <w:b/>
          <w:bCs/>
        </w:rPr>
        <w:t xml:space="preserve">occupancy was rebuilding, April new-lease rent growth turned positive, supply pressure appeared to be moderating, and management maintained its full-year outlook.</w:t>
      </w:r>
      <w:r>
        <w:t xml:space="preserve"> </w:t>
      </w:r>
      <w:r>
        <w:t xml:space="preserve">The core issue for the report is whether those encouraging April indicators strengthened through the heart of peak leasing season sufficiently to support—rather than merely preserve—2026 same-store revenue and NOI guidance.</w:t>
      </w:r>
    </w:p>
    <w:p>
      <w:pPr>
        <w:pStyle w:val="BodyText"/>
      </w:pPr>
      <w:r>
        <w:t xml:space="preserve">The other major item is capital allocation. INVH has been selling homes at attractive prices, repurchased $500 million of stock through 1Q, has another $500 million authorization available, and issued $500 million of 4.95% 2032 senior notes in July. Investors will want a clear explanation of how the new financing changes the balance among debt reduction, buybacks, dispositions, acquisitions, development, and its still-small but strategically important ResiBuilt/homebuilding activities.</w:t>
      </w:r>
    </w:p>
    <w:bookmarkEnd w:id="9"/>
    <w:bookmarkStart w:id="12" w:name="what-matters-most-this-quarter"/>
    <w:p>
      <w:pPr>
        <w:pStyle w:val="Heading2"/>
      </w:pPr>
      <w:r>
        <w:t xml:space="preserve">What matters most this quarter</w:t>
      </w:r>
    </w:p>
    <w:bookmarkStart w:id="10" w:name="X0c4b630f5c4007221acf10488790948efc9cb7d"/>
    <w:p>
      <w:pPr>
        <w:pStyle w:val="Heading3"/>
      </w:pPr>
      <w:r>
        <w:t xml:space="preserve">1. Peak-season leasing: did April’s inflection continue?</w:t>
      </w:r>
    </w:p>
    <w:p>
      <w:pPr>
        <w:pStyle w:val="FirstParagraph"/>
      </w:pPr>
      <w:r>
        <w:t xml:space="preserve">In 1Q, same-store NOI declined</w:t>
      </w:r>
      <w:r>
        <w:t xml:space="preserve"> </w:t>
      </w:r>
      <w:r>
        <w:rPr>
          <w:b/>
          <w:bCs/>
        </w:rPr>
        <w:t xml:space="preserve">0.3% year over year</w:t>
      </w:r>
      <w:r>
        <w:t xml:space="preserve">, as 1.6% same-store core-revenue growth was more than offset by 5.7% expense growth. The revenue result reflected a 90-bp year-over-year occupancy decline to 96.3% and weak new-lease pricing: renewal rent growth was 3.7%, but new-lease growth was</w:t>
      </w:r>
      <w:r>
        <w:t xml:space="preserve"> </w:t>
      </w:r>
      <w:r>
        <w:rPr>
          <w:b/>
          <w:bCs/>
        </w:rPr>
        <w:t xml:space="preserve">negative 3.0%</w:t>
      </w:r>
      <w:r>
        <w:t xml:space="preserve">, producing 1.6% blended rent growth.</w:t>
      </w:r>
    </w:p>
    <w:p>
      <w:pPr>
        <w:pStyle w:val="BodyText"/>
      </w:pPr>
      <w:r>
        <w:t xml:space="preserve">The encouraging part of the 1Q update was April: average occupancy rose to</w:t>
      </w:r>
      <w:r>
        <w:t xml:space="preserve"> </w:t>
      </w:r>
      <w:r>
        <w:rPr>
          <w:b/>
          <w:bCs/>
        </w:rPr>
        <w:t xml:space="preserve">97.1%</w:t>
      </w:r>
      <w:r>
        <w:t xml:space="preserve">, new-lease growth became slightly positive, and blended rent growth improved to approximately</w:t>
      </w:r>
      <w:r>
        <w:t xml:space="preserve"> </w:t>
      </w:r>
      <w:r>
        <w:rPr>
          <w:b/>
          <w:bCs/>
        </w:rPr>
        <w:t xml:space="preserve">2.3%</w:t>
      </w:r>
      <w:r>
        <w:t xml:space="preserve">. The 2Q print needs to demonstrate that this was a sustainable peak-season trend, not a one-month improvement.</w:t>
      </w:r>
    </w:p>
    <w:p>
      <w:pPr>
        <w:pStyle w:val="BodyText"/>
      </w:pPr>
      <w:r>
        <w:rPr>
          <w:b/>
          <w:bCs/>
        </w:rPr>
        <w:t xml:space="preserve">Key operating reads: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 2026 baseline</w:t>
            </w:r>
          </w:p>
        </w:tc>
        <w:tc>
          <w:tcPr/>
          <w:p>
            <w:pPr>
              <w:pStyle w:val="Compact"/>
            </w:pPr>
            <w:r>
              <w:t xml:space="preserve">What investors should want in 2Q</w:t>
            </w:r>
          </w:p>
        </w:tc>
      </w:tr>
      <w:tr>
        <w:tc>
          <w:tcPr/>
          <w:p>
            <w:pPr>
              <w:pStyle w:val="Compact"/>
            </w:pPr>
            <w:r>
              <w:t xml:space="preserve">Same-store occupancy</w:t>
            </w:r>
          </w:p>
        </w:tc>
        <w:tc>
          <w:tcPr/>
          <w:p>
            <w:pPr>
              <w:pStyle w:val="Compact"/>
              <w:jc w:val="right"/>
            </w:pPr>
            <w:r>
              <w:t xml:space="preserve">96.3%</w:t>
            </w:r>
          </w:p>
        </w:tc>
        <w:tc>
          <w:tcPr/>
          <w:p>
            <w:pPr>
              <w:pStyle w:val="Compact"/>
            </w:pPr>
            <w:r>
              <w:t xml:space="preserve">Continued seasonal build and clear commentary on exit occupancy</w:t>
            </w:r>
          </w:p>
        </w:tc>
      </w:tr>
      <w:tr>
        <w:tc>
          <w:tcPr/>
          <w:p>
            <w:pPr>
              <w:pStyle w:val="Compact"/>
            </w:pPr>
            <w:r>
              <w:t xml:space="preserve">Renewal rent growth</w:t>
            </w:r>
          </w:p>
        </w:tc>
        <w:tc>
          <w:tcPr/>
          <w:p>
            <w:pPr>
              <w:pStyle w:val="Compact"/>
              <w:jc w:val="right"/>
            </w:pPr>
            <w:r>
              <w:t xml:space="preserve">3.7%</w:t>
            </w:r>
          </w:p>
        </w:tc>
        <w:tc>
          <w:tcPr/>
          <w:p>
            <w:pPr>
              <w:pStyle w:val="Compact"/>
            </w:pPr>
            <w:r>
              <w:t xml:space="preserve">Continued low-to-mid-single-digit strength</w:t>
            </w:r>
          </w:p>
        </w:tc>
      </w:tr>
      <w:tr>
        <w:tc>
          <w:tcPr/>
          <w:p>
            <w:pPr>
              <w:pStyle w:val="Compact"/>
            </w:pPr>
            <w:r>
              <w:t xml:space="preserve">New-lease rent growth</w:t>
            </w:r>
          </w:p>
        </w:tc>
        <w:tc>
          <w:tcPr/>
          <w:p>
            <w:pPr>
              <w:pStyle w:val="Compact"/>
              <w:jc w:val="right"/>
            </w:pPr>
            <w:r>
              <w:t xml:space="preserve">-3.0%</w:t>
            </w:r>
          </w:p>
        </w:tc>
        <w:tc>
          <w:tcPr/>
          <w:p>
            <w:pPr>
              <w:pStyle w:val="Compact"/>
            </w:pPr>
            <w:r>
              <w:t xml:space="preserve">Sustained positive growth; improvement in pressured Sun Belt markets matters most</w:t>
            </w:r>
          </w:p>
        </w:tc>
      </w:tr>
      <w:tr>
        <w:tc>
          <w:tcPr/>
          <w:p>
            <w:pPr>
              <w:pStyle w:val="Compact"/>
            </w:pPr>
            <w:r>
              <w:t xml:space="preserve">Blended rent growth</w:t>
            </w:r>
          </w:p>
        </w:tc>
        <w:tc>
          <w:tcPr/>
          <w:p>
            <w:pPr>
              <w:pStyle w:val="Compact"/>
              <w:jc w:val="right"/>
            </w:pPr>
            <w:r>
              <w:t xml:space="preserve">1.6%</w:t>
            </w:r>
          </w:p>
        </w:tc>
        <w:tc>
          <w:tcPr/>
          <w:p>
            <w:pPr>
              <w:pStyle w:val="Compact"/>
            </w:pPr>
            <w:r>
              <w:t xml:space="preserve">Further acceleration from April’s ~2.3%</w:t>
            </w:r>
          </w:p>
        </w:tc>
      </w:tr>
      <w:tr>
        <w:tc>
          <w:tcPr/>
          <w:p>
            <w:pPr>
              <w:pStyle w:val="Compact"/>
            </w:pPr>
            <w:r>
              <w:t xml:space="preserve">Same-store core revenue growth</w:t>
            </w:r>
          </w:p>
        </w:tc>
        <w:tc>
          <w:tcPr/>
          <w:p>
            <w:pPr>
              <w:pStyle w:val="Compact"/>
              <w:jc w:val="right"/>
            </w:pPr>
            <w:r>
              <w:t xml:space="preserve">1.6%</w:t>
            </w:r>
          </w:p>
        </w:tc>
        <w:tc>
          <w:tcPr/>
          <w:p>
            <w:pPr>
              <w:pStyle w:val="Compact"/>
            </w:pPr>
            <w:r>
              <w:t xml:space="preserve">Evidence it can support the 1.3%–2.5% full-year range</w:t>
            </w:r>
          </w:p>
        </w:tc>
      </w:tr>
      <w:tr>
        <w:tc>
          <w:tcPr/>
          <w:p>
            <w:pPr>
              <w:pStyle w:val="Compact"/>
            </w:pPr>
            <w:r>
              <w:t xml:space="preserve">Same-store NOI growth</w:t>
            </w:r>
          </w:p>
        </w:tc>
        <w:tc>
          <w:tcPr/>
          <w:p>
            <w:pPr>
              <w:pStyle w:val="Compact"/>
              <w:jc w:val="right"/>
            </w:pPr>
            <w:r>
              <w:t xml:space="preserve">-0.3%</w:t>
            </w:r>
          </w:p>
        </w:tc>
        <w:tc>
          <w:tcPr/>
          <w:p>
            <w:pPr>
              <w:pStyle w:val="Compact"/>
            </w:pPr>
            <w:r>
              <w:t xml:space="preserve">A return to positive growth would materially improve the narrative</w:t>
            </w:r>
          </w:p>
        </w:tc>
      </w:tr>
    </w:tbl>
    <w:p>
      <w:pPr>
        <w:pStyle w:val="BodyText"/>
      </w:pPr>
      <w:r>
        <w:t xml:space="preserve">The new-lease trajectory is the highest-frequency indicator. Management said peak build-to-rent deliveries had likely passed and that for-lease inventory growth was moderating. Confirmation in markets such as</w:t>
      </w:r>
      <w:r>
        <w:t xml:space="preserve"> </w:t>
      </w:r>
      <w:r>
        <w:rPr>
          <w:b/>
          <w:bCs/>
        </w:rPr>
        <w:t xml:space="preserve">Phoenix, Tampa, Orlando, Dallas, Houston and Atlanta</w:t>
      </w:r>
      <w:r>
        <w:t xml:space="preserve"> </w:t>
      </w:r>
      <w:r>
        <w:t xml:space="preserve">would be especially meaningful, since those markets faced some of the largest new-lease pressure in 1Q.</w:t>
      </w:r>
    </w:p>
    <w:bookmarkEnd w:id="10"/>
    <w:bookmarkStart w:id="11" w:name="X3515e66ba6e8544cd10e06b1edabff1b0e5bc64"/>
    <w:p>
      <w:pPr>
        <w:pStyle w:val="Heading3"/>
      </w:pPr>
      <w:r>
        <w:t xml:space="preserve">2. Guidance: hold versus raise is less important than the quality of the implied second half</w:t>
      </w:r>
    </w:p>
    <w:p>
      <w:pPr>
        <w:pStyle w:val="FirstParagraph"/>
      </w:pPr>
      <w:r>
        <w:t xml:space="preserve">INVH maintained its 2026 outlook after 1Q:</w:t>
      </w:r>
    </w:p>
    <w:p>
      <w:pPr>
        <w:pStyle w:val="Compact"/>
        <w:numPr>
          <w:ilvl w:val="0"/>
          <w:numId w:val="1001"/>
        </w:numPr>
      </w:pPr>
      <w:r>
        <w:rPr>
          <w:b/>
          <w:bCs/>
        </w:rPr>
        <w:t xml:space="preserve">Core FFO/share:</w:t>
      </w:r>
      <w:r>
        <w:t xml:space="preserve"> </w:t>
      </w:r>
      <m:oMath>
        <m:r>
          <m:t>1.90</m:t>
        </m:r>
        <m:r>
          <m:rPr>
            <m:sty m:val="p"/>
          </m:rPr>
          <m:t>–</m:t>
        </m:r>
      </m:oMath>
      <w:r>
        <w:t xml:space="preserve">1.98</w:t>
      </w:r>
    </w:p>
    <w:p>
      <w:pPr>
        <w:pStyle w:val="Compact"/>
        <w:numPr>
          <w:ilvl w:val="0"/>
          <w:numId w:val="1001"/>
        </w:numPr>
      </w:pPr>
      <w:r>
        <w:rPr>
          <w:b/>
          <w:bCs/>
        </w:rPr>
        <w:t xml:space="preserve">AFFO/share:</w:t>
      </w:r>
      <w:r>
        <w:t xml:space="preserve"> </w:t>
      </w:r>
      <m:oMath>
        <m:r>
          <m:t>1.60</m:t>
        </m:r>
        <m:r>
          <m:rPr>
            <m:sty m:val="p"/>
          </m:rPr>
          <m:t>–</m:t>
        </m:r>
      </m:oMath>
      <w:r>
        <w:t xml:space="preserve">1.68</w:t>
      </w:r>
    </w:p>
    <w:p>
      <w:pPr>
        <w:pStyle w:val="Compact"/>
        <w:numPr>
          <w:ilvl w:val="0"/>
          <w:numId w:val="1001"/>
        </w:numPr>
      </w:pPr>
      <w:r>
        <w:rPr>
          <w:b/>
          <w:bCs/>
        </w:rPr>
        <w:t xml:space="preserve">Same-store core revenue growth:</w:t>
      </w:r>
      <w:r>
        <w:t xml:space="preserve"> </w:t>
      </w:r>
      <w:r>
        <w:t xml:space="preserve">1.3%–2.5%</w:t>
      </w:r>
    </w:p>
    <w:p>
      <w:pPr>
        <w:pStyle w:val="Compact"/>
        <w:numPr>
          <w:ilvl w:val="0"/>
          <w:numId w:val="1001"/>
        </w:numPr>
      </w:pPr>
      <w:r>
        <w:rPr>
          <w:b/>
          <w:bCs/>
        </w:rPr>
        <w:t xml:space="preserve">Same-store expense growth:</w:t>
      </w:r>
      <w:r>
        <w:t xml:space="preserve"> </w:t>
      </w:r>
      <w:r>
        <w:t xml:space="preserve">3.0%–4.0%</w:t>
      </w:r>
    </w:p>
    <w:p>
      <w:pPr>
        <w:pStyle w:val="Compact"/>
        <w:numPr>
          <w:ilvl w:val="0"/>
          <w:numId w:val="1001"/>
        </w:numPr>
      </w:pPr>
      <w:r>
        <w:rPr>
          <w:b/>
          <w:bCs/>
        </w:rPr>
        <w:t xml:space="preserve">Same-store NOI growth:</w:t>
      </w:r>
      <w:r>
        <w:t xml:space="preserve"> </w:t>
      </w:r>
      <w:r>
        <w:t xml:space="preserve">0.3%–2.0%</w:t>
      </w:r>
    </w:p>
    <w:p>
      <w:pPr>
        <w:pStyle w:val="Compact"/>
        <w:numPr>
          <w:ilvl w:val="0"/>
          <w:numId w:val="1001"/>
        </w:numPr>
      </w:pPr>
      <w:r>
        <w:rPr>
          <w:b/>
          <w:bCs/>
        </w:rPr>
        <w:t xml:space="preserve">Wholly owned dispositions:</w:t>
      </w:r>
      <w:r>
        <w:t xml:space="preserve"> </w:t>
      </w:r>
      <m:oMath>
        <m:r>
          <m:t>450</m:t>
        </m:r>
        <m:r>
          <m:rPr>
            <m:sty m:val="p"/>
          </m:rPr>
          <m:t>–</m:t>
        </m:r>
      </m:oMath>
      <w:r>
        <w:t xml:space="preserve">650 million</w:t>
      </w:r>
    </w:p>
    <w:p>
      <w:pPr>
        <w:pStyle w:val="Compact"/>
        <w:numPr>
          <w:ilvl w:val="0"/>
          <w:numId w:val="1001"/>
        </w:numPr>
      </w:pPr>
      <w:r>
        <w:rPr>
          <w:b/>
          <w:bCs/>
        </w:rPr>
        <w:t xml:space="preserve">Wholly owned acquisitions:</w:t>
      </w:r>
      <w:r>
        <w:t xml:space="preserve"> </w:t>
      </w:r>
      <m:oMath>
        <m:r>
          <m:t>150</m:t>
        </m:r>
        <m:r>
          <m:rPr>
            <m:sty m:val="p"/>
          </m:rPr>
          <m:t>–</m:t>
        </m:r>
      </m:oMath>
      <w:r>
        <w:t xml:space="preserve">350 million</w:t>
      </w:r>
    </w:p>
    <w:p>
      <w:pPr>
        <w:pStyle w:val="FirstParagraph"/>
      </w:pPr>
      <w:r>
        <w:t xml:space="preserve">A reaffirmation would be reasonable if leasing is improving but management wants more of the summer leasing season in hand. More important than an outright guidance increase will be:</w:t>
      </w:r>
    </w:p>
    <w:p>
      <w:pPr>
        <w:pStyle w:val="Compact"/>
        <w:numPr>
          <w:ilvl w:val="0"/>
          <w:numId w:val="1002"/>
        </w:numPr>
      </w:pPr>
      <w:r>
        <w:t xml:space="preserve">Whether the company narrows its revenue or NOI ranges upward;</w:t>
      </w:r>
    </w:p>
    <w:p>
      <w:pPr>
        <w:pStyle w:val="Compact"/>
        <w:numPr>
          <w:ilvl w:val="0"/>
          <w:numId w:val="1002"/>
        </w:numPr>
      </w:pPr>
      <w:r>
        <w:t xml:space="preserve">Whether it signals that 2H new-lease growth should be decisively positive;</w:t>
      </w:r>
    </w:p>
    <w:p>
      <w:pPr>
        <w:pStyle w:val="Compact"/>
        <w:numPr>
          <w:ilvl w:val="0"/>
          <w:numId w:val="1002"/>
        </w:numPr>
      </w:pPr>
      <w:r>
        <w:t xml:space="preserve">Whether expense assumptions are still intact; and</w:t>
      </w:r>
    </w:p>
    <w:p>
      <w:pPr>
        <w:pStyle w:val="Compact"/>
        <w:numPr>
          <w:ilvl w:val="0"/>
          <w:numId w:val="1002"/>
        </w:numPr>
      </w:pPr>
      <w:r>
        <w:t xml:space="preserve">Whether buyback activity is now expected to be accretive enough to affect the upper half of the per-share ranges.</w:t>
      </w:r>
    </w:p>
    <w:p>
      <w:pPr>
        <w:pStyle w:val="FirstParagraph"/>
      </w:pPr>
      <w:r>
        <w:t xml:space="preserve">In 1Q, Core FFO was flat year over year at</w:t>
      </w:r>
      <w:r>
        <w:t xml:space="preserve"> </w:t>
      </w:r>
      <m:oMath>
        <m:r>
          <m:t>0.48</m:t>
        </m:r>
        <m:r>
          <m:rPr>
            <m:sty m:val="p"/>
          </m:rPr>
          <m:t>/</m:t>
        </m:r>
        <m:r>
          <m:t>s</m:t>
        </m:r>
        <m:r>
          <m:t>h</m:t>
        </m:r>
        <m:r>
          <m:t>a</m:t>
        </m:r>
        <m:r>
          <m:t>r</m:t>
        </m:r>
        <m:r>
          <m:t>e</m:t>
        </m:r>
        <m:r>
          <m:rPr>
            <m:sty m:val="p"/>
          </m:rPr>
          <m:t>*</m:t>
        </m:r>
        <m:r>
          <m:rPr>
            <m:sty m:val="p"/>
          </m:rPr>
          <m:t>*</m:t>
        </m:r>
        <m:r>
          <m:rPr>
            <m:sty m:val="p"/>
          </m:rPr>
          <m:t>,</m:t>
        </m:r>
        <m:r>
          <m:t>w</m:t>
        </m:r>
        <m:r>
          <m:t>h</m:t>
        </m:r>
        <m:r>
          <m:t>i</m:t>
        </m:r>
        <m:r>
          <m:t>l</m:t>
        </m:r>
        <m:r>
          <m:t>e</m:t>
        </m:r>
        <m:r>
          <m:t>A</m:t>
        </m:r>
        <m:r>
          <m:t>F</m:t>
        </m:r>
        <m:r>
          <m:t>F</m:t>
        </m:r>
        <m:r>
          <m:t>O</m:t>
        </m:r>
        <m:r>
          <m:t>f</m:t>
        </m:r>
        <m:r>
          <m:t>e</m:t>
        </m:r>
        <m:r>
          <m:t>l</m:t>
        </m:r>
        <m:r>
          <m:t>l</m:t>
        </m:r>
        <m:r>
          <m:t>2.6</m:t>
        </m:r>
      </m:oMath>
      <w:r>
        <w:rPr>
          <w:b/>
          <w:bCs/>
        </w:rPr>
        <w:t xml:space="preserve">0.41/share</w:t>
      </w:r>
      <w:r>
        <w:t xml:space="preserve">, largely due to timing and a difficult prior-year comparison. The share-count benefit from the large 1Q repurchase program was not yet fully reflected in that quarter’s weighted-average share count, leaving some potential per-share support later in the year.</w:t>
      </w:r>
    </w:p>
    <w:bookmarkEnd w:id="11"/>
    <w:bookmarkEnd w:id="12"/>
    <w:bookmarkStart w:id="15" w:name="Xeb891188b1abf4641037adf357610e6ef542a6d"/>
    <w:p>
      <w:pPr>
        <w:pStyle w:val="Heading2"/>
      </w:pPr>
      <w:r>
        <w:t xml:space="preserve">The capital-allocation story is now central</w:t>
      </w:r>
    </w:p>
    <w:bookmarkStart w:id="13" w:name="dispositions-and-repurchases"/>
    <w:p>
      <w:pPr>
        <w:pStyle w:val="Heading3"/>
      </w:pPr>
      <w:r>
        <w:t xml:space="preserve">Dispositions and repurchases</w:t>
      </w:r>
    </w:p>
    <w:p>
      <w:pPr>
        <w:pStyle w:val="FirstParagraph"/>
      </w:pPr>
      <w:r>
        <w:t xml:space="preserve">INVH sold 483 wholly owned homes in 1Q for approximately $206 million, bringing year-to-date sales to $206 million versus full-year disposition guidance of</w:t>
      </w:r>
      <w:r>
        <w:t xml:space="preserve"> </w:t>
      </w:r>
      <m:oMath>
        <m:r>
          <m:t>450</m:t>
        </m:r>
        <m:r>
          <m:rPr>
            <m:sty m:val="p"/>
          </m:rPr>
          <m:t>–</m:t>
        </m:r>
      </m:oMath>
      <w:r>
        <w:t xml:space="preserve">650 million. Management characterized sales pricing and time on market as better than underwriting, with many homes sold to owner-occupants.</w:t>
      </w:r>
    </w:p>
    <w:p>
      <w:pPr>
        <w:pStyle w:val="BodyText"/>
      </w:pPr>
      <w:r>
        <w:t xml:space="preserve">Those sales funded an aggressive repurchase posture: INVH repurchased roughly</w:t>
      </w:r>
      <w:r>
        <w:t xml:space="preserve"> </w:t>
      </w:r>
      <w:r>
        <w:rPr>
          <w:b/>
          <w:bCs/>
        </w:rPr>
        <w:t xml:space="preserve">17.1 million shares for $439 million in 1Q</w:t>
      </w:r>
      <w:r>
        <w:t xml:space="preserve">, completing the prior $500 million authorization at an average purchase price of $25.86 per share. The board approved a new $500 million authorization in late April.</w:t>
      </w:r>
    </w:p>
    <w:p>
      <w:pPr>
        <w:pStyle w:val="BodyText"/>
      </w:pPr>
      <w:r>
        <w:t xml:space="preserve">This quarter should clarify whether INVH continued repurchases after the stock’s recovery. Shares closed at</w:t>
      </w:r>
      <w:r>
        <w:t xml:space="preserve"> </w:t>
      </w:r>
      <w:r>
        <w:rPr>
          <w:b/>
          <w:bCs/>
        </w:rPr>
        <w:t xml:space="preserve">$30.06 on July 28</w:t>
      </w:r>
      <w:r>
        <w:t xml:space="preserve">, up about 21% from $24.85 on April 1, though still below the company’s 1Q average repurchase price context on a per-home valuation basis.</w:t>
      </w:r>
    </w:p>
    <w:p>
      <w:pPr>
        <w:pStyle w:val="BodyText"/>
      </w:pPr>
      <w:r>
        <w:rPr>
          <w:b/>
          <w:bCs/>
        </w:rPr>
        <w:t xml:space="preserve">What to watch:</w:t>
      </w:r>
    </w:p>
    <w:p>
      <w:pPr>
        <w:pStyle w:val="Compact"/>
        <w:numPr>
          <w:ilvl w:val="0"/>
          <w:numId w:val="1003"/>
        </w:numPr>
      </w:pPr>
      <w:r>
        <w:t xml:space="preserve">2Q home-sale proceeds, volume, pricing and implied disposition cap rates;</w:t>
      </w:r>
    </w:p>
    <w:p>
      <w:pPr>
        <w:pStyle w:val="Compact"/>
        <w:numPr>
          <w:ilvl w:val="0"/>
          <w:numId w:val="1003"/>
        </w:numPr>
      </w:pPr>
      <w:r>
        <w:t xml:space="preserve">Incremental buyback dollars and average repurchase price;</w:t>
      </w:r>
    </w:p>
    <w:p>
      <w:pPr>
        <w:pStyle w:val="Compact"/>
        <w:numPr>
          <w:ilvl w:val="0"/>
          <w:numId w:val="1003"/>
        </w:numPr>
      </w:pPr>
      <w:r>
        <w:t xml:space="preserve">Whether management sees buybacks as still the best use of incremental disposition proceeds;</w:t>
      </w:r>
    </w:p>
    <w:p>
      <w:pPr>
        <w:pStyle w:val="Compact"/>
        <w:numPr>
          <w:ilvl w:val="0"/>
          <w:numId w:val="1003"/>
        </w:numPr>
      </w:pPr>
      <w:r>
        <w:t xml:space="preserve">Any REIT taxable-income constraints that could limit additional asset sales or require distribution decisions.</w:t>
      </w:r>
    </w:p>
    <w:bookmarkEnd w:id="13"/>
    <w:bookmarkStart w:id="14" w:name="Xffd4c5ca0d0a62d1ad127d72d8d9483cc1d61de"/>
    <w:p>
      <w:pPr>
        <w:pStyle w:val="Heading3"/>
      </w:pPr>
      <w:r>
        <w:t xml:space="preserve">New debt issuance: flexibility improves, but investors need the use-of-proceeds bridge</w:t>
      </w:r>
    </w:p>
    <w:p>
      <w:pPr>
        <w:pStyle w:val="FirstParagraph"/>
      </w:pPr>
      <w:r>
        <w:t xml:space="preserve">On July 8, INVH closed a</w:t>
      </w:r>
      <w:r>
        <w:t xml:space="preserve"> </w:t>
      </w:r>
      <w:r>
        <w:rPr>
          <w:b/>
          <w:bCs/>
        </w:rPr>
        <w:t xml:space="preserve">$500 million offering of 4.95% senior notes due 2032</w:t>
      </w:r>
      <w:r>
        <w:t xml:space="preserve">. At March 31, net debt to trailing-12-month adjusted EBITDAre was 5.6x, within the company’s 5.5x–6.0x target range; 89.5% of debt was fixed or swapped to fixed.</w:t>
      </w:r>
    </w:p>
    <w:p>
      <w:pPr>
        <w:pStyle w:val="BodyText"/>
      </w:pPr>
      <w:r>
        <w:t xml:space="preserve">The new issue gives INVH more liquidity and pushes maturities out, but it also puts a spotlight on financing discipline. Investors should ask whether proceeds were used to repay the revolver, prefund 2027 maturities, support repurchases, or retain dry powder for investments. The annual cash coupon is approximately</w:t>
      </w:r>
      <w:r>
        <w:t xml:space="preserve"> </w:t>
      </w:r>
      <w:r>
        <w:rPr>
          <w:b/>
          <w:bCs/>
        </w:rPr>
        <w:t xml:space="preserve">$24.8 million</w:t>
      </w:r>
      <w:r>
        <w:t xml:space="preserve"> </w:t>
      </w:r>
      <w:r>
        <w:t xml:space="preserve">before considering any offset from repaying other borrowings or investing the proceeds.</w:t>
      </w:r>
    </w:p>
    <w:p>
      <w:pPr>
        <w:pStyle w:val="BodyText"/>
      </w:pPr>
      <w:r>
        <w:t xml:space="preserve">The bullish interpretation is that INVH is locking in durable unsecured capital while preserving optionality. The less favorable interpretation would be leverage rising while the company simultaneously funds buybacks and faces slower same-store NOI growth. Management’s net-leverage outlook and intended use of proceeds will matter.</w:t>
      </w:r>
    </w:p>
    <w:bookmarkEnd w:id="14"/>
    <w:bookmarkEnd w:id="15"/>
    <w:bookmarkStart w:id="16" w:name="X15aa9618fd651e26c676ba3d24a12396500525f"/>
    <w:p>
      <w:pPr>
        <w:pStyle w:val="Heading2"/>
      </w:pPr>
      <w:r>
        <w:t xml:space="preserve">Expenses: a potential source of relief, but not yet a thesis</w:t>
      </w:r>
    </w:p>
    <w:p>
      <w:pPr>
        <w:pStyle w:val="FirstParagraph"/>
      </w:pPr>
      <w:r>
        <w:t xml:space="preserve">First-quarter same-store expense growth of 5.7% was above the full-year 3%–4% range, although management attributed much of the pressure to unusually easy comparisons in 1Q 2025—particularly mild weather and low turnover. The company also said its insurance renewal was modestly better than assumed.</w:t>
      </w:r>
    </w:p>
    <w:p>
      <w:pPr>
        <w:pStyle w:val="BodyText"/>
      </w:pPr>
      <w:r>
        <w:t xml:space="preserve">A 2Q normalization in expense growth is important because it would allow even modest revenue acceleration to translate into positive NOI growth. The principal risk is that repairs and maintenance, turnover, property taxes, insurance, and utilities remain sticky enough to prevent operating leverage.</w:t>
      </w:r>
    </w:p>
    <w:p>
      <w:pPr>
        <w:pStyle w:val="BodyText"/>
      </w:pPr>
      <w:r>
        <w:rPr>
          <w:b/>
          <w:bCs/>
        </w:rPr>
        <w:t xml:space="preserve">Constructive 2Q outcome:</w:t>
      </w:r>
      <w:r>
        <w:t xml:space="preserve"> </w:t>
      </w:r>
      <w:r>
        <w:t xml:space="preserve">expense growth begins trending toward the full-year range while revenue growth accelerates.</w:t>
      </w:r>
    </w:p>
    <w:p>
      <w:pPr>
        <w:pStyle w:val="BodyText"/>
      </w:pPr>
      <w:r>
        <w:rPr>
          <w:b/>
          <w:bCs/>
        </w:rPr>
        <w:t xml:space="preserve">Concerning 2Q outcome:</w:t>
      </w:r>
      <w:r>
        <w:t xml:space="preserve"> </w:t>
      </w:r>
      <w:r>
        <w:t xml:space="preserve">revenue improves but controllable expenses remain elevated, keeping NOI flat to down.</w:t>
      </w:r>
    </w:p>
    <w:bookmarkEnd w:id="16"/>
    <w:bookmarkStart w:id="17" w:name="portfolio-and-market-considerations"/>
    <w:p>
      <w:pPr>
        <w:pStyle w:val="Heading2"/>
      </w:pPr>
      <w:r>
        <w:t xml:space="preserve">Portfolio and market considerations</w:t>
      </w:r>
    </w:p>
    <w:p>
      <w:pPr>
        <w:pStyle w:val="FirstParagraph"/>
      </w:pPr>
      <w:r>
        <w:t xml:space="preserve">INVH’s portfolio remains concentrated in markets where rental demand is structurally supported, but where near-term supply conditions vary materially. In 1Q, the Midwest and coastal California markets showed better new-lease pricing, while several Sun Belt markets faced the greatest pressure.</w:t>
      </w:r>
    </w:p>
    <w:p>
      <w:pPr>
        <w:pStyle w:val="BodyText"/>
      </w:pPr>
      <w:r>
        <w:t xml:space="preserve">The company’s 1Q market data suggest investors should focus on:</w:t>
      </w:r>
    </w:p>
    <w:p>
      <w:pPr>
        <w:pStyle w:val="Compact"/>
        <w:numPr>
          <w:ilvl w:val="0"/>
          <w:numId w:val="1004"/>
        </w:numPr>
      </w:pPr>
      <w:r>
        <w:rPr>
          <w:b/>
          <w:bCs/>
        </w:rPr>
        <w:t xml:space="preserve">Florida:</w:t>
      </w:r>
      <w:r>
        <w:t xml:space="preserve"> </w:t>
      </w:r>
      <w:r>
        <w:t xml:space="preserve">approximately one-third of revenue, with lower occupancy and varying new-lease pressures;</w:t>
      </w:r>
    </w:p>
    <w:p>
      <w:pPr>
        <w:pStyle w:val="Compact"/>
        <w:numPr>
          <w:ilvl w:val="0"/>
          <w:numId w:val="1004"/>
        </w:numPr>
      </w:pPr>
      <w:r>
        <w:rPr>
          <w:b/>
          <w:bCs/>
        </w:rPr>
        <w:t xml:space="preserve">Western U.S.:</w:t>
      </w:r>
      <w:r>
        <w:t xml:space="preserve"> </w:t>
      </w:r>
      <w:r>
        <w:t xml:space="preserve">nearly 40% of revenue, with better overall occupancy and relatively favorable California/Seattle pricing;</w:t>
      </w:r>
    </w:p>
    <w:p>
      <w:pPr>
        <w:pStyle w:val="Compact"/>
        <w:numPr>
          <w:ilvl w:val="0"/>
          <w:numId w:val="1004"/>
        </w:numPr>
      </w:pPr>
      <w:r>
        <w:rPr>
          <w:b/>
          <w:bCs/>
        </w:rPr>
        <w:t xml:space="preserve">Texas:</w:t>
      </w:r>
      <w:r>
        <w:t xml:space="preserve"> </w:t>
      </w:r>
      <w:r>
        <w:t xml:space="preserve">a smaller revenue contributor but the weakest same-store NOI region in 1Q, particularly Dallas;</w:t>
      </w:r>
    </w:p>
    <w:p>
      <w:pPr>
        <w:pStyle w:val="Compact"/>
        <w:numPr>
          <w:ilvl w:val="0"/>
          <w:numId w:val="1004"/>
        </w:numPr>
      </w:pPr>
      <w:r>
        <w:rPr>
          <w:b/>
          <w:bCs/>
        </w:rPr>
        <w:t xml:space="preserve">Midwest:</w:t>
      </w:r>
      <w:r>
        <w:t xml:space="preserve"> </w:t>
      </w:r>
      <w:r>
        <w:t xml:space="preserve">small but notably strong lease-rate growth, supporting the overall portfolio.</w:t>
      </w:r>
    </w:p>
    <w:p>
      <w:pPr>
        <w:pStyle w:val="FirstParagraph"/>
      </w:pPr>
      <w:r>
        <w:t xml:space="preserve">The question is not whether every market improves simultaneously. It is whether improvement becomes broad enough that INVH can grow revenue and NOI consistently despite localized supply pockets.</w:t>
      </w:r>
    </w:p>
    <w:bookmarkEnd w:id="17"/>
    <w:bookmarkStart w:id="18" w:name="X0b193c5c901a1119ad31a37b7ccef52eb0c8dba"/>
    <w:p>
      <w:pPr>
        <w:pStyle w:val="Heading2"/>
      </w:pPr>
      <w:r>
        <w:t xml:space="preserve">ResiBuilt, development and construction lending: strategic optionality, not the near-term earnings driver</w:t>
      </w:r>
    </w:p>
    <w:p>
      <w:pPr>
        <w:pStyle w:val="FirstParagraph"/>
      </w:pPr>
      <w:r>
        <w:t xml:space="preserve">The January acquisition of ResiBuilt Homes gives INVH an in-house build-to-rent construction capability. In 1Q, ResiBuilt delivered more than 300 homes to third-party customers, and management described the business as modestly accretive to 2026 AFFO/share. INVH also cited $279 million of construction-lending commitments, with less than $20 million funded at the time of the 1Q call.</w:t>
      </w:r>
    </w:p>
    <w:p>
      <w:pPr>
        <w:pStyle w:val="BodyText"/>
      </w:pPr>
      <w:r>
        <w:t xml:space="preserve">Near term, these activities are unlikely to drive the earnings reaction. But they matter strategically because they could enable INVH to create housing supply with less direct balance-sheet acquisition exposure. Investors should look for:</w:t>
      </w:r>
    </w:p>
    <w:p>
      <w:pPr>
        <w:pStyle w:val="Compact"/>
        <w:numPr>
          <w:ilvl w:val="0"/>
          <w:numId w:val="1005"/>
        </w:numPr>
      </w:pPr>
      <w:r>
        <w:t xml:space="preserve">Fee-building backlog and third-party demand;</w:t>
      </w:r>
    </w:p>
    <w:p>
      <w:pPr>
        <w:pStyle w:val="Compact"/>
        <w:numPr>
          <w:ilvl w:val="0"/>
          <w:numId w:val="1005"/>
        </w:numPr>
      </w:pPr>
      <w:r>
        <w:t xml:space="preserve">The pace of funded construction-lending commitments;</w:t>
      </w:r>
    </w:p>
    <w:p>
      <w:pPr>
        <w:pStyle w:val="Compact"/>
        <w:numPr>
          <w:ilvl w:val="0"/>
          <w:numId w:val="1005"/>
        </w:numPr>
      </w:pPr>
      <w:r>
        <w:t xml:space="preserve">The company’s willingness to restart or expand its own development commitments;</w:t>
      </w:r>
    </w:p>
    <w:p>
      <w:pPr>
        <w:pStyle w:val="Compact"/>
        <w:numPr>
          <w:ilvl w:val="0"/>
          <w:numId w:val="1005"/>
        </w:numPr>
      </w:pPr>
      <w:r>
        <w:t xml:space="preserve">Any impact from evolving housing-policy or regulatory discussions.</w:t>
      </w:r>
    </w:p>
    <w:bookmarkEnd w:id="18"/>
    <w:bookmarkStart w:id="22" w:name="a-practical-earnings-scorecard"/>
    <w:p>
      <w:pPr>
        <w:pStyle w:val="Heading2"/>
      </w:pPr>
      <w:r>
        <w:t xml:space="preserve">A practical earnings scorecard</w:t>
      </w:r>
    </w:p>
    <w:bookmarkStart w:id="19" w:name="bullish-print"/>
    <w:p>
      <w:pPr>
        <w:pStyle w:val="Heading3"/>
      </w:pPr>
      <w:r>
        <w:t xml:space="preserve">Bullish print</w:t>
      </w:r>
    </w:p>
    <w:p>
      <w:pPr>
        <w:pStyle w:val="Compact"/>
        <w:numPr>
          <w:ilvl w:val="0"/>
          <w:numId w:val="1006"/>
        </w:numPr>
      </w:pPr>
      <w:r>
        <w:t xml:space="preserve">New-lease growth remains positive and improves beyond April’s preliminary level;</w:t>
      </w:r>
    </w:p>
    <w:p>
      <w:pPr>
        <w:pStyle w:val="Compact"/>
        <w:numPr>
          <w:ilvl w:val="0"/>
          <w:numId w:val="1006"/>
        </w:numPr>
      </w:pPr>
      <w:r>
        <w:t xml:space="preserve">Blended rent growth accelerates and occupancy holds near peak-season highs;</w:t>
      </w:r>
    </w:p>
    <w:p>
      <w:pPr>
        <w:pStyle w:val="Compact"/>
        <w:numPr>
          <w:ilvl w:val="0"/>
          <w:numId w:val="1006"/>
        </w:numPr>
      </w:pPr>
      <w:r>
        <w:t xml:space="preserve">Same-store NOI returns to positive year-over-year growth;</w:t>
      </w:r>
    </w:p>
    <w:p>
      <w:pPr>
        <w:pStyle w:val="Compact"/>
        <w:numPr>
          <w:ilvl w:val="0"/>
          <w:numId w:val="1006"/>
        </w:numPr>
      </w:pPr>
      <w:r>
        <w:t xml:space="preserve">Full-year revenue/NOI guidance is affirmed with an improved outlook or narrower range;</w:t>
      </w:r>
    </w:p>
    <w:p>
      <w:pPr>
        <w:pStyle w:val="Compact"/>
        <w:numPr>
          <w:ilvl w:val="0"/>
          <w:numId w:val="1006"/>
        </w:numPr>
      </w:pPr>
      <w:r>
        <w:t xml:space="preserve">Expense growth moderates toward guidance;</w:t>
      </w:r>
    </w:p>
    <w:p>
      <w:pPr>
        <w:pStyle w:val="Compact"/>
        <w:numPr>
          <w:ilvl w:val="0"/>
          <w:numId w:val="1006"/>
        </w:numPr>
      </w:pPr>
      <w:r>
        <w:t xml:space="preserve">Dispositions remain strong and buybacks continue at attractive economics;</w:t>
      </w:r>
    </w:p>
    <w:p>
      <w:pPr>
        <w:pStyle w:val="Compact"/>
        <w:numPr>
          <w:ilvl w:val="0"/>
          <w:numId w:val="1006"/>
        </w:numPr>
      </w:pPr>
      <w:r>
        <w:t xml:space="preserve">Management provides a credible deleveraging or refinancing explanation for the July notes.</w:t>
      </w:r>
    </w:p>
    <w:bookmarkEnd w:id="19"/>
    <w:bookmarkStart w:id="20" w:name="in-line-print"/>
    <w:p>
      <w:pPr>
        <w:pStyle w:val="Heading3"/>
      </w:pPr>
      <w:r>
        <w:t xml:space="preserve">In-line print</w:t>
      </w:r>
    </w:p>
    <w:p>
      <w:pPr>
        <w:pStyle w:val="Compact"/>
        <w:numPr>
          <w:ilvl w:val="0"/>
          <w:numId w:val="1007"/>
        </w:numPr>
      </w:pPr>
      <w:r>
        <w:t xml:space="preserve">Leasing trends are modestly better than 1Q but management retains a cautious stance;</w:t>
      </w:r>
    </w:p>
    <w:p>
      <w:pPr>
        <w:pStyle w:val="Compact"/>
        <w:numPr>
          <w:ilvl w:val="0"/>
          <w:numId w:val="1007"/>
        </w:numPr>
      </w:pPr>
      <w:r>
        <w:t xml:space="preserve">Guidance is maintained without a major change;</w:t>
      </w:r>
    </w:p>
    <w:p>
      <w:pPr>
        <w:pStyle w:val="Compact"/>
        <w:numPr>
          <w:ilvl w:val="0"/>
          <w:numId w:val="1007"/>
        </w:numPr>
      </w:pPr>
      <w:r>
        <w:t xml:space="preserve">NOI growth is around flat, with expense normalization still in progress;</w:t>
      </w:r>
    </w:p>
    <w:p>
      <w:pPr>
        <w:pStyle w:val="Compact"/>
        <w:numPr>
          <w:ilvl w:val="0"/>
          <w:numId w:val="1007"/>
        </w:numPr>
      </w:pPr>
      <w:r>
        <w:t xml:space="preserve">Capital allocation remains balanced but buyback activity is limited after the share-price rebound.</w:t>
      </w:r>
    </w:p>
    <w:bookmarkEnd w:id="20"/>
    <w:bookmarkStart w:id="21" w:name="bearish-print"/>
    <w:p>
      <w:pPr>
        <w:pStyle w:val="Heading3"/>
      </w:pPr>
      <w:r>
        <w:t xml:space="preserve">Bearish print</w:t>
      </w:r>
    </w:p>
    <w:p>
      <w:pPr>
        <w:pStyle w:val="Compact"/>
        <w:numPr>
          <w:ilvl w:val="0"/>
          <w:numId w:val="1008"/>
        </w:numPr>
      </w:pPr>
      <w:r>
        <w:t xml:space="preserve">New-lease growth slips back below zero or occupancy softens early;</w:t>
      </w:r>
    </w:p>
    <w:p>
      <w:pPr>
        <w:pStyle w:val="Compact"/>
        <w:numPr>
          <w:ilvl w:val="0"/>
          <w:numId w:val="1008"/>
        </w:numPr>
      </w:pPr>
      <w:r>
        <w:t xml:space="preserve">Sun Belt supply remains more persistent than expected;</w:t>
      </w:r>
    </w:p>
    <w:p>
      <w:pPr>
        <w:pStyle w:val="Compact"/>
        <w:numPr>
          <w:ilvl w:val="0"/>
          <w:numId w:val="1008"/>
        </w:numPr>
      </w:pPr>
      <w:r>
        <w:t xml:space="preserve">Expense growth stays elevated, preventing NOI recovery;</w:t>
      </w:r>
    </w:p>
    <w:p>
      <w:pPr>
        <w:pStyle w:val="Compact"/>
        <w:numPr>
          <w:ilvl w:val="0"/>
          <w:numId w:val="1008"/>
        </w:numPr>
      </w:pPr>
      <w:r>
        <w:t xml:space="preserve">Guidance is reduced, particularly on same-store revenue/NOI or AFFO;</w:t>
      </w:r>
    </w:p>
    <w:p>
      <w:pPr>
        <w:pStyle w:val="Compact"/>
        <w:numPr>
          <w:ilvl w:val="0"/>
          <w:numId w:val="1008"/>
        </w:numPr>
      </w:pPr>
      <w:r>
        <w:t xml:space="preserve">Debt issuance is not accompanied by a clear use-of-proceeds and leverage narrative;</w:t>
      </w:r>
    </w:p>
    <w:p>
      <w:pPr>
        <w:pStyle w:val="Compact"/>
        <w:numPr>
          <w:ilvl w:val="0"/>
          <w:numId w:val="1008"/>
        </w:numPr>
      </w:pPr>
      <w:r>
        <w:t xml:space="preserve">Disposition gains or buyback activity appear to be masking weaker core operating trends.</w:t>
      </w:r>
    </w:p>
    <w:bookmarkEnd w:id="21"/>
    <w:bookmarkEnd w:id="22"/>
    <w:bookmarkStart w:id="23" w:name="questions-for-management"/>
    <w:p>
      <w:pPr>
        <w:pStyle w:val="Heading2"/>
      </w:pPr>
      <w:r>
        <w:t xml:space="preserve">Questions for management</w:t>
      </w:r>
    </w:p>
    <w:p>
      <w:pPr>
        <w:pStyle w:val="Compact"/>
        <w:numPr>
          <w:ilvl w:val="0"/>
          <w:numId w:val="1009"/>
        </w:numPr>
      </w:pPr>
      <w:r>
        <w:rPr>
          <w:b/>
          <w:bCs/>
        </w:rPr>
        <w:t xml:space="preserve">How did May, June and July new-lease pricing compare with the preliminary April inflection?</w:t>
      </w:r>
    </w:p>
    <w:p>
      <w:pPr>
        <w:pStyle w:val="Compact"/>
        <w:numPr>
          <w:ilvl w:val="0"/>
          <w:numId w:val="1009"/>
        </w:numPr>
      </w:pPr>
      <w:r>
        <w:rPr>
          <w:b/>
          <w:bCs/>
        </w:rPr>
        <w:t xml:space="preserve">What is the expected exit occupancy rate for 3Q, and how does it compare with last year?</w:t>
      </w:r>
    </w:p>
    <w:p>
      <w:pPr>
        <w:pStyle w:val="Compact"/>
        <w:numPr>
          <w:ilvl w:val="0"/>
          <w:numId w:val="1009"/>
        </w:numPr>
      </w:pPr>
      <w:r>
        <w:rPr>
          <w:b/>
          <w:bCs/>
        </w:rPr>
        <w:t xml:space="preserve">Which markets improved most, and which Sun Belt markets remain supply constrained?</w:t>
      </w:r>
    </w:p>
    <w:p>
      <w:pPr>
        <w:pStyle w:val="Compact"/>
        <w:numPr>
          <w:ilvl w:val="0"/>
          <w:numId w:val="1009"/>
        </w:numPr>
      </w:pPr>
      <w:r>
        <w:rPr>
          <w:b/>
          <w:bCs/>
        </w:rPr>
        <w:t xml:space="preserve">How much of 1Q’s elevated same-store expense growth has normalized in 2Q?</w:t>
      </w:r>
    </w:p>
    <w:p>
      <w:pPr>
        <w:pStyle w:val="Compact"/>
        <w:numPr>
          <w:ilvl w:val="0"/>
          <w:numId w:val="1009"/>
        </w:numPr>
      </w:pPr>
      <w:r>
        <w:rPr>
          <w:b/>
          <w:bCs/>
        </w:rPr>
        <w:t xml:space="preserve">What was the precise use of proceeds from the July 2032 note offering, and what is the pro forma net-leverage outlook?</w:t>
      </w:r>
    </w:p>
    <w:p>
      <w:pPr>
        <w:pStyle w:val="Compact"/>
        <w:numPr>
          <w:ilvl w:val="0"/>
          <w:numId w:val="1009"/>
        </w:numPr>
      </w:pPr>
      <w:r>
        <w:rPr>
          <w:b/>
          <w:bCs/>
        </w:rPr>
        <w:t xml:space="preserve">How much of the new $500 million buyback authorization has been used, and what conditions would cause INVH to favor buybacks over debt reduction or acquisitions?</w:t>
      </w:r>
    </w:p>
    <w:p>
      <w:pPr>
        <w:pStyle w:val="Compact"/>
        <w:numPr>
          <w:ilvl w:val="0"/>
          <w:numId w:val="1009"/>
        </w:numPr>
      </w:pPr>
      <w:r>
        <w:rPr>
          <w:b/>
          <w:bCs/>
        </w:rPr>
        <w:t xml:space="preserve">Can disposition activity remain above plan without creating REIT taxable-income or special-distribution pressure?</w:t>
      </w:r>
    </w:p>
    <w:p>
      <w:pPr>
        <w:pStyle w:val="Compact"/>
        <w:numPr>
          <w:ilvl w:val="0"/>
          <w:numId w:val="1009"/>
        </w:numPr>
      </w:pPr>
      <w:r>
        <w:rPr>
          <w:b/>
          <w:bCs/>
        </w:rPr>
        <w:t xml:space="preserve">What are the current backlog, economics and capital needs for ResiBuilt and construction lending?</w:t>
      </w:r>
    </w:p>
    <w:bookmarkEnd w:id="23"/>
    <w:bookmarkStart w:id="25" w:name="investment-view-into-the-report"/>
    <w:p>
      <w:pPr>
        <w:pStyle w:val="Heading2"/>
      </w:pPr>
      <w:r>
        <w:t xml:space="preserve">Investment view into the report</w:t>
      </w:r>
    </w:p>
    <w:p>
      <w:pPr>
        <w:pStyle w:val="FirstParagraph"/>
      </w:pPr>
      <w:r>
        <w:t xml:space="preserve">INVH’s 2Q setup is constructive but not without execution risk. The stock has already recovered meaningfully from early-April levels, so the market may require more than a simple reiteration of “April improved.” The report needs to show that the leasing recovery extended through peak season, expense pressure is fading, and capital allocation remains demonstrably accretive after the July debt financing.</w:t>
      </w:r>
    </w:p>
    <w:p>
      <w:pPr>
        <w:pStyle w:val="BodyText"/>
      </w:pPr>
      <w:r>
        <w:t xml:space="preserve">The cleanest positive surprise would be</w:t>
      </w:r>
      <w:r>
        <w:t xml:space="preserve"> </w:t>
      </w:r>
      <w:r>
        <w:rPr>
          <w:b/>
          <w:bCs/>
        </w:rPr>
        <w:t xml:space="preserve">sustained positive new-lease growth, strong occupancy, positive same-store NOI, and a clearer path toward the upper end of guidance</w:t>
      </w:r>
      <w:r>
        <w:t xml:space="preserve">. Conversely, if leasing momentum stalled after April, the combination of soft organic growth and higher absolute debt would likely dominate the conversation.</w:t>
      </w:r>
    </w:p>
    <w:bookmarkStart w:id="24" w:name="sources-reviewed"/>
    <w:p>
      <w:pPr>
        <w:pStyle w:val="Heading3"/>
      </w:pPr>
      <w:r>
        <w:t xml:space="preserve">Sources reviewed</w:t>
      </w:r>
    </w:p>
    <w:p>
      <w:pPr>
        <w:pStyle w:val="Compact"/>
        <w:numPr>
          <w:ilvl w:val="0"/>
          <w:numId w:val="1010"/>
        </w:numPr>
      </w:pPr>
      <w:r>
        <w:t xml:space="preserve">Invitation Homes 1Q 2026 earnings release and supplemental information, issued April 29, 2026.</w:t>
      </w:r>
    </w:p>
    <w:p>
      <w:pPr>
        <w:pStyle w:val="Compact"/>
        <w:numPr>
          <w:ilvl w:val="0"/>
          <w:numId w:val="1010"/>
        </w:numPr>
      </w:pPr>
      <w:r>
        <w:t xml:space="preserve">Invitation Homes 1Q 2026 earnings-call transcript, April 30, 2026.</w:t>
      </w:r>
    </w:p>
    <w:p>
      <w:pPr>
        <w:pStyle w:val="Compact"/>
        <w:numPr>
          <w:ilvl w:val="0"/>
          <w:numId w:val="1010"/>
        </w:numPr>
      </w:pPr>
      <w:r>
        <w:t xml:space="preserve">Invitation Homes Form 8-K regarding $500 million of 4.95% senior notes due 2032, filed July 8, 2026.</w:t>
      </w:r>
    </w:p>
    <w:p>
      <w:pPr>
        <w:pStyle w:val="Compact"/>
        <w:numPr>
          <w:ilvl w:val="0"/>
          <w:numId w:val="1010"/>
        </w:numPr>
      </w:pPr>
      <w:r>
        <w:t xml:space="preserve">INVH historical share-price data through July 28, 2026.</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2026-07-29T01:59:57Z</dcterms:created>
  <dcterms:modified xsi:type="dcterms:W3CDTF">2026-07-29T01:59:57Z</dcterms:modified>
</cp:coreProperties>
</file>

<file path=docProps/custom.xml><?xml version="1.0" encoding="utf-8"?>
<Properties xmlns="http://schemas.openxmlformats.org/officeDocument/2006/custom-properties" xmlns:vt="http://schemas.openxmlformats.org/officeDocument/2006/docPropsVTypes"/>
</file>