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Invitation Homes (INVH)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Invitation Homes Inc.</w:t>
            </w:r>
          </w:p>
        </w:tc>
      </w:tr>
      <w:tr>
        <w:tc>
          <w:tcPr>
            <w:tcW w:type="dxa" w:w="4320"/>
          </w:tcPr>
          <w:p>
            <w:r>
              <w:rPr>
                <w:rFonts w:ascii="Calibri" w:hAnsi="Calibri"/>
                <w:b/>
                <w:sz w:val="22"/>
              </w:rPr>
              <w:t>Ticker</w:t>
            </w:r>
          </w:p>
        </w:tc>
        <w:tc>
          <w:tcPr>
            <w:tcW w:type="dxa" w:w="4320"/>
          </w:tcPr>
          <w:p>
            <w:r>
              <w:rPr>
                <w:rFonts w:ascii="Calibri" w:hAnsi="Calibri"/>
                <w:sz w:val="22"/>
              </w:rPr>
              <w:t>INVH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Expected Earnings Date</w:t>
            </w:r>
          </w:p>
        </w:tc>
        <w:tc>
          <w:tcPr>
            <w:tcW w:type="dxa" w:w="4320"/>
          </w:tcPr>
          <w:p>
            <w:r>
              <w:rPr>
                <w:rFonts w:ascii="Calibri" w:hAnsi="Calibri"/>
                <w:sz w:val="22"/>
              </w:rPr>
              <w:t>TBD — expected late July / early August 2026</w:t>
            </w:r>
          </w:p>
        </w:tc>
      </w:tr>
      <w:tr>
        <w:tc>
          <w:tcPr>
            <w:tcW w:type="dxa" w:w="4320"/>
          </w:tcPr>
          <w:p>
            <w:r>
              <w:rPr>
                <w:rFonts w:ascii="Calibri" w:hAnsi="Calibri"/>
                <w:b/>
                <w:sz w:val="22"/>
              </w:rPr>
              <w:t>Last Earnings Date</w:t>
            </w:r>
          </w:p>
        </w:tc>
        <w:tc>
          <w:tcPr>
            <w:tcW w:type="dxa" w:w="4320"/>
          </w:tcPr>
          <w:p>
            <w:r>
              <w:rPr>
                <w:rFonts w:ascii="Calibri" w:hAnsi="Calibri"/>
                <w:sz w:val="22"/>
              </w:rPr>
              <w:t>April 29, 2026 (Q1 2026)</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Sector / Sub-Sector</w:t>
            </w:r>
          </w:p>
        </w:tc>
        <w:tc>
          <w:tcPr>
            <w:tcW w:type="dxa" w:w="4320"/>
          </w:tcPr>
          <w:p>
            <w:r>
              <w:rPr>
                <w:rFonts w:ascii="Calibri" w:hAnsi="Calibri"/>
                <w:sz w:val="22"/>
              </w:rPr>
              <w:t>REIT — Single-Family Rental</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Setup is constructive — the bar is achievable and leasing momentum through May/June has been the strongest in two years, but the stock has already rallied ~7% since Q1 earnings, leaving limited room for a re-rating unless management raises full-year guidance.</w:t>
      </w:r>
    </w:p>
    <w:p>
      <w:r>
        <w:rPr>
          <w:rFonts w:ascii="Calibri" w:hAnsi="Calibri"/>
          <w:color w:val="525866"/>
          <w:sz w:val="22"/>
        </w:rPr>
        <w:t xml:space="preserve">Heading into Q2 2026 results, the setup for INVH is the most favorable it has been in several quarters. Consensus is looking for </w:t>
      </w:r>
      <w:r>
        <w:rPr>
          <w:rFonts w:ascii="Calibri" w:hAnsi="Calibri"/>
          <w:b/>
          <w:color w:val="525866"/>
          <w:sz w:val="22"/>
        </w:rPr>
        <w:t>Core FFO of $0.489/share</w:t>
      </w:r>
      <w:r>
        <w:rPr>
          <w:rFonts w:ascii="Calibri" w:hAnsi="Calibri"/>
          <w:color w:val="525866"/>
          <w:sz w:val="22"/>
        </w:rPr>
        <w:t xml:space="preserve"> and </w:t>
      </w:r>
      <w:r>
        <w:rPr>
          <w:rFonts w:ascii="Calibri" w:hAnsi="Calibri"/>
          <w:b/>
          <w:color w:val="525866"/>
          <w:sz w:val="22"/>
        </w:rPr>
        <w:t>same-store NOI growth of ~1.0%</w:t>
      </w:r>
      <w:r>
        <w:rPr>
          <w:rFonts w:ascii="Calibri" w:hAnsi="Calibri"/>
          <w:color w:val="525866"/>
          <w:sz w:val="22"/>
        </w:rPr>
        <w:t xml:space="preserve"> — a bar that management’s own intra-quarter commentary strongly suggests is achievable. At the Nareit REITweek conference in early June, management disclosed that same-store occupancy reached 97.2% and blended rent growth accelerated to 2.5% quarter-to-date through May (April at 2.3%, May at 2.8%), well above Q1’s 1.6% blended rate and ahead of consensus’s 2.7% full-year blended rate estimate. Management’s tone has shifted from “cautiously optimistic” at Q1 earnings to actively signaling better fundamentals in 2026 than 2025 heading into the summer leasing cycle, with new lease rate growth positive in both April and May for the first time in several quarters. Estimate revisions have moved modestly higher since the Q1 print (+$0.006 on Q2 Core FFO, +13 bps on Q2 same-store NOI growth), tracking in line with guidance rather than diverging, which limits the risk of a negative surprise. The stock has outperformed the residential REIT ETF (REZ) on an absolute basis since Q1 earnings (+7.1% vs. +11.3% for REZ and +4.1% for SPY), though REZ’s stronger performance suggests the sector has been the primary driver rather than INVH-specific re-rating. The key wildcard is whether management will raise full-year guidance — they explicitly held off at Q1 citing “early stage of year,” but with peak leasing season now largely complete and disposition pace tracking ahead of plan, the case for a guidance raise is building; failure to raise could disappoint a market that has already priced in improvement.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achievable-to-low bar</w:t>
      </w:r>
      <w:r>
        <w:rPr>
          <w:rFonts w:ascii="Calibri" w:hAnsi="Calibri"/>
          <w:color w:val="525866"/>
          <w:sz w:val="22"/>
        </w:rPr>
        <w:t xml:space="preserve"> heading into the print. Management’s own intra-quarter disclosures (97.2% occupancy, 2.5% blended rent growth through May) imply Q2 same-store NOI growth could come in above the ~1.0% consensus estimate. </w:t>
      </w:r>
      <w:r>
        <w:rPr>
          <w:rFonts w:ascii="Calibri" w:hAnsi="Calibri"/>
          <w:b/>
          <w:color w:val="525866"/>
          <w:sz w:val="22"/>
        </w:rPr>
        <w:t>Blended rent growth is the bigger swing factor</w:t>
      </w:r>
      <w:r>
        <w:rPr>
          <w:rFonts w:ascii="Calibri" w:hAnsi="Calibri"/>
          <w:color w:val="525866"/>
          <w:sz w:val="22"/>
        </w:rPr>
        <w:t xml:space="preserve"> — if June maintained May’s 2.8% pace, the full-quarter blended rate would likely exceed the 2.7% consensus estimate.</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Core FFO per Share ($)</w:t>
            </w:r>
          </w:p>
        </w:tc>
        <w:tc>
          <w:tcPr>
            <w:tcW w:type="dxa" w:w="1234"/>
          </w:tcPr>
          <w:p>
            <w:r>
              <w:rPr>
                <w:rFonts w:ascii="Calibri" w:hAnsi="Calibri"/>
                <w:sz w:val="22"/>
              </w:rPr>
              <w:t>$0.48</w:t>
            </w:r>
          </w:p>
        </w:tc>
        <w:tc>
          <w:tcPr>
            <w:tcW w:type="dxa" w:w="1234"/>
          </w:tcPr>
          <w:p>
            <w:r>
              <w:rPr>
                <w:rFonts w:ascii="Calibri" w:hAnsi="Calibri"/>
                <w:sz w:val="22"/>
              </w:rPr>
              <w:t>$0.48</w:t>
            </w:r>
          </w:p>
        </w:tc>
        <w:tc>
          <w:tcPr>
            <w:tcW w:type="dxa" w:w="1234"/>
          </w:tcPr>
          <w:p>
            <w:r>
              <w:rPr>
                <w:rFonts w:ascii="Calibri" w:hAnsi="Calibri"/>
                <w:sz w:val="22"/>
              </w:rPr>
              <w:t>$0.489</w:t>
            </w:r>
          </w:p>
        </w:tc>
        <w:tc>
          <w:tcPr>
            <w:tcW w:type="dxa" w:w="1234"/>
          </w:tcPr>
          <w:p>
            <w:r>
              <w:rPr>
                <w:rFonts w:ascii="Calibri" w:hAnsi="Calibri"/>
                <w:sz w:val="22"/>
              </w:rPr>
              <w:t>+1.9%</w:t>
            </w:r>
          </w:p>
        </w:tc>
        <w:tc>
          <w:tcPr>
            <w:tcW w:type="dxa" w:w="1234"/>
          </w:tcPr>
          <w:p>
            <w:r>
              <w:rPr>
                <w:rFonts w:ascii="Calibri" w:hAnsi="Calibri"/>
                <w:sz w:val="22"/>
              </w:rPr>
              <w:t>FY 2026: $1.90–$1.98 ($1.94 mid)</w:t>
            </w:r>
          </w:p>
        </w:tc>
        <w:tc>
          <w:tcPr>
            <w:tcW w:type="dxa" w:w="1234"/>
          </w:tcPr>
          <w:p>
            <w:r>
              <w:rPr>
                <w:rFonts w:ascii="Calibri" w:hAnsi="Calibri"/>
                <w:sz w:val="22"/>
              </w:rPr>
              <w:t>~+0.3% vs. FY mid</w:t>
            </w:r>
          </w:p>
        </w:tc>
      </w:tr>
      <w:tr>
        <w:tc>
          <w:tcPr>
            <w:tcW w:type="dxa" w:w="1234"/>
          </w:tcPr>
          <w:p>
            <w:r>
              <w:rPr>
                <w:rFonts w:ascii="Calibri" w:hAnsi="Calibri"/>
                <w:sz w:val="22"/>
              </w:rPr>
              <w:t>AFFO per Share ($)</w:t>
            </w:r>
          </w:p>
        </w:tc>
        <w:tc>
          <w:tcPr>
            <w:tcW w:type="dxa" w:w="1234"/>
          </w:tcPr>
          <w:p>
            <w:r>
              <w:rPr>
                <w:rFonts w:ascii="Calibri" w:hAnsi="Calibri"/>
                <w:sz w:val="22"/>
              </w:rPr>
              <w:t>$0.41</w:t>
            </w:r>
          </w:p>
        </w:tc>
        <w:tc>
          <w:tcPr>
            <w:tcW w:type="dxa" w:w="1234"/>
          </w:tcPr>
          <w:p>
            <w:r>
              <w:rPr>
                <w:rFonts w:ascii="Calibri" w:hAnsi="Calibri"/>
                <w:sz w:val="22"/>
              </w:rPr>
              <w:t>$0.41</w:t>
            </w:r>
          </w:p>
        </w:tc>
        <w:tc>
          <w:tcPr>
            <w:tcW w:type="dxa" w:w="1234"/>
          </w:tcPr>
          <w:p>
            <w:r>
              <w:rPr>
                <w:rFonts w:ascii="Calibri" w:hAnsi="Calibri"/>
                <w:sz w:val="22"/>
              </w:rPr>
              <w:t>$0.414</w:t>
            </w:r>
          </w:p>
        </w:tc>
        <w:tc>
          <w:tcPr>
            <w:tcW w:type="dxa" w:w="1234"/>
          </w:tcPr>
          <w:p>
            <w:r>
              <w:rPr>
                <w:rFonts w:ascii="Calibri" w:hAnsi="Calibri"/>
                <w:sz w:val="22"/>
              </w:rPr>
              <w:t>+0.9%</w:t>
            </w:r>
          </w:p>
        </w:tc>
        <w:tc>
          <w:tcPr>
            <w:tcW w:type="dxa" w:w="1234"/>
          </w:tcPr>
          <w:p>
            <w:r>
              <w:rPr>
                <w:rFonts w:ascii="Calibri" w:hAnsi="Calibri"/>
                <w:sz w:val="22"/>
              </w:rPr>
              <w:t>FY 2026: $1.60–$1.68 ($1.64 mid)</w:t>
            </w:r>
          </w:p>
        </w:tc>
        <w:tc>
          <w:tcPr>
            <w:tcW w:type="dxa" w:w="1234"/>
          </w:tcPr>
          <w:p>
            <w:r>
              <w:rPr>
                <w:rFonts w:ascii="Calibri" w:hAnsi="Calibri"/>
                <w:sz w:val="22"/>
              </w:rPr>
              <w:t>~+0.3% vs. FY mid</w:t>
            </w:r>
          </w:p>
        </w:tc>
      </w:tr>
      <w:tr>
        <w:tc>
          <w:tcPr>
            <w:tcW w:type="dxa" w:w="1234"/>
          </w:tcPr>
          <w:p>
            <w:r>
              <w:rPr>
                <w:rFonts w:ascii="Calibri" w:hAnsi="Calibri"/>
                <w:sz w:val="22"/>
              </w:rPr>
              <w:t>Same-Store NOI Growth YoY (%)</w:t>
            </w:r>
          </w:p>
        </w:tc>
        <w:tc>
          <w:tcPr>
            <w:tcW w:type="dxa" w:w="1234"/>
          </w:tcPr>
          <w:p>
            <w:r>
              <w:rPr>
                <w:rFonts w:ascii="Calibri" w:hAnsi="Calibri"/>
                <w:sz w:val="22"/>
              </w:rPr>
              <w:t>-0.3%</w:t>
            </w:r>
          </w:p>
        </w:tc>
        <w:tc>
          <w:tcPr>
            <w:tcW w:type="dxa" w:w="1234"/>
          </w:tcPr>
          <w:p>
            <w:r>
              <w:rPr>
                <w:rFonts w:ascii="Calibri" w:hAnsi="Calibri"/>
                <w:sz w:val="22"/>
              </w:rPr>
              <w:t>+2.5%</w:t>
            </w:r>
          </w:p>
        </w:tc>
        <w:tc>
          <w:tcPr>
            <w:tcW w:type="dxa" w:w="1234"/>
          </w:tcPr>
          <w:p>
            <w:r>
              <w:rPr>
                <w:rFonts w:ascii="Calibri" w:hAnsi="Calibri"/>
                <w:sz w:val="22"/>
              </w:rPr>
              <w:t>+1.0%</w:t>
            </w:r>
          </w:p>
        </w:tc>
        <w:tc>
          <w:tcPr>
            <w:tcW w:type="dxa" w:w="1234"/>
          </w:tcPr>
          <w:p>
            <w:r>
              <w:rPr>
                <w:rFonts w:ascii="Calibri" w:hAnsi="Calibri"/>
                <w:sz w:val="22"/>
              </w:rPr>
              <w:t>-150 bps YoY</w:t>
            </w:r>
          </w:p>
        </w:tc>
        <w:tc>
          <w:tcPr>
            <w:tcW w:type="dxa" w:w="1234"/>
          </w:tcPr>
          <w:p>
            <w:r>
              <w:rPr>
                <w:rFonts w:ascii="Calibri" w:hAnsi="Calibri"/>
                <w:sz w:val="22"/>
              </w:rPr>
              <w:t>FY 2026: 0.3%–2.0% (1.15% mid)</w:t>
            </w:r>
          </w:p>
        </w:tc>
        <w:tc>
          <w:tcPr>
            <w:tcW w:type="dxa" w:w="1234"/>
          </w:tcPr>
          <w:p>
            <w:r>
              <w:rPr>
                <w:rFonts w:ascii="Calibri" w:hAnsi="Calibri"/>
                <w:sz w:val="22"/>
              </w:rPr>
              <w:t>~-15 bps vs. FY mid</w:t>
            </w:r>
          </w:p>
        </w:tc>
      </w:tr>
      <w:tr>
        <w:tc>
          <w:tcPr>
            <w:tcW w:type="dxa" w:w="1234"/>
          </w:tcPr>
          <w:p>
            <w:r>
              <w:rPr>
                <w:rFonts w:ascii="Calibri" w:hAnsi="Calibri"/>
                <w:sz w:val="22"/>
              </w:rPr>
              <w:t>Same-Store Revenue Growth YoY (%)</w:t>
            </w:r>
          </w:p>
        </w:tc>
        <w:tc>
          <w:tcPr>
            <w:tcW w:type="dxa" w:w="1234"/>
          </w:tcPr>
          <w:p>
            <w:r>
              <w:rPr>
                <w:rFonts w:ascii="Calibri" w:hAnsi="Calibri"/>
                <w:sz w:val="22"/>
              </w:rPr>
              <w:t>+1.6%</w:t>
            </w:r>
          </w:p>
        </w:tc>
        <w:tc>
          <w:tcPr>
            <w:tcW w:type="dxa" w:w="1234"/>
          </w:tcPr>
          <w:p>
            <w:r>
              <w:rPr>
                <w:rFonts w:ascii="Calibri" w:hAnsi="Calibri"/>
                <w:sz w:val="22"/>
              </w:rPr>
              <w:t>+2.4%</w:t>
            </w:r>
          </w:p>
        </w:tc>
        <w:tc>
          <w:tcPr>
            <w:tcW w:type="dxa" w:w="1234"/>
          </w:tcPr>
          <w:p>
            <w:r>
              <w:rPr>
                <w:rFonts w:ascii="Calibri" w:hAnsi="Calibri"/>
                <w:sz w:val="22"/>
              </w:rPr>
              <w:t>+1.7%</w:t>
            </w:r>
          </w:p>
        </w:tc>
        <w:tc>
          <w:tcPr>
            <w:tcW w:type="dxa" w:w="1234"/>
          </w:tcPr>
          <w:p>
            <w:r>
              <w:rPr>
                <w:rFonts w:ascii="Calibri" w:hAnsi="Calibri"/>
                <w:sz w:val="22"/>
              </w:rPr>
              <w:t>-70 bps YoY</w:t>
            </w:r>
          </w:p>
        </w:tc>
        <w:tc>
          <w:tcPr>
            <w:tcW w:type="dxa" w:w="1234"/>
          </w:tcPr>
          <w:p>
            <w:r>
              <w:rPr>
                <w:rFonts w:ascii="Calibri" w:hAnsi="Calibri"/>
                <w:sz w:val="22"/>
              </w:rPr>
              <w:t>FY 2026: ~1.85% (implied)</w:t>
            </w:r>
          </w:p>
        </w:tc>
        <w:tc>
          <w:tcPr>
            <w:tcW w:type="dxa" w:w="1234"/>
          </w:tcPr>
          <w:p>
            <w:r>
              <w:rPr>
                <w:rFonts w:ascii="Calibri" w:hAnsi="Calibri"/>
                <w:sz w:val="22"/>
              </w:rPr>
              <w:t>~-15 bps vs. FY mid</w:t>
            </w:r>
          </w:p>
        </w:tc>
      </w:tr>
      <w:tr>
        <w:tc>
          <w:tcPr>
            <w:tcW w:type="dxa" w:w="1234"/>
          </w:tcPr>
          <w:p>
            <w:r>
              <w:rPr>
                <w:rFonts w:ascii="Calibri" w:hAnsi="Calibri"/>
                <w:sz w:val="22"/>
              </w:rPr>
              <w:t>Same-Store Occupancy (%)</w:t>
            </w:r>
          </w:p>
        </w:tc>
        <w:tc>
          <w:tcPr>
            <w:tcW w:type="dxa" w:w="1234"/>
          </w:tcPr>
          <w:p>
            <w:r>
              <w:rPr>
                <w:rFonts w:ascii="Calibri" w:hAnsi="Calibri"/>
                <w:sz w:val="22"/>
              </w:rPr>
              <w:t>96.3%</w:t>
            </w:r>
          </w:p>
        </w:tc>
        <w:tc>
          <w:tcPr>
            <w:tcW w:type="dxa" w:w="1234"/>
          </w:tcPr>
          <w:p>
            <w:r>
              <w:rPr>
                <w:rFonts w:ascii="Calibri" w:hAnsi="Calibri"/>
                <w:sz w:val="22"/>
              </w:rPr>
              <w:t>97.3%</w:t>
            </w:r>
          </w:p>
        </w:tc>
        <w:tc>
          <w:tcPr>
            <w:tcW w:type="dxa" w:w="1234"/>
          </w:tcPr>
          <w:p>
            <w:r>
              <w:rPr>
                <w:rFonts w:ascii="Calibri" w:hAnsi="Calibri"/>
                <w:sz w:val="22"/>
              </w:rPr>
              <w:t>96.7%</w:t>
            </w:r>
          </w:p>
        </w:tc>
        <w:tc>
          <w:tcPr>
            <w:tcW w:type="dxa" w:w="1234"/>
          </w:tcPr>
          <w:p>
            <w:r>
              <w:rPr>
                <w:rFonts w:ascii="Calibri" w:hAnsi="Calibri"/>
                <w:sz w:val="22"/>
              </w:rPr>
              <w:t>-60 bps YoY</w:t>
            </w:r>
          </w:p>
        </w:tc>
        <w:tc>
          <w:tcPr>
            <w:tcW w:type="dxa" w:w="1234"/>
          </w:tcPr>
          <w:p>
            <w:r>
              <w:rPr>
                <w:rFonts w:ascii="Calibri" w:hAnsi="Calibri"/>
                <w:sz w:val="22"/>
              </w:rPr>
              <w:t>No explicit Q2 guidance</w:t>
            </w:r>
          </w:p>
        </w:tc>
        <w:tc>
          <w:tcPr>
            <w:tcW w:type="dxa" w:w="1234"/>
          </w:tcPr>
          <w:p>
            <w:r>
              <w:rPr>
                <w:rFonts w:ascii="Calibri" w:hAnsi="Calibri"/>
                <w:sz w:val="22"/>
              </w:rPr>
              <w:t>N/A</w:t>
            </w:r>
          </w:p>
        </w:tc>
      </w:tr>
      <w:tr>
        <w:tc>
          <w:tcPr>
            <w:tcW w:type="dxa" w:w="1234"/>
          </w:tcPr>
          <w:p>
            <w:r>
              <w:rPr>
                <w:rFonts w:ascii="Calibri" w:hAnsi="Calibri"/>
                <w:sz w:val="22"/>
              </w:rPr>
              <w:t>Blended Rent Growth — Same Store (%)</w:t>
            </w:r>
          </w:p>
        </w:tc>
        <w:tc>
          <w:tcPr>
            <w:tcW w:type="dxa" w:w="1234"/>
          </w:tcPr>
          <w:p>
            <w:r>
              <w:rPr>
                <w:rFonts w:ascii="Calibri" w:hAnsi="Calibri"/>
                <w:sz w:val="22"/>
              </w:rPr>
              <w:t>+1.6%</w:t>
            </w:r>
          </w:p>
        </w:tc>
        <w:tc>
          <w:tcPr>
            <w:tcW w:type="dxa" w:w="1234"/>
          </w:tcPr>
          <w:p>
            <w:r>
              <w:rPr>
                <w:rFonts w:ascii="Calibri" w:hAnsi="Calibri"/>
                <w:sz w:val="22"/>
              </w:rPr>
              <w:t>+4.0%</w:t>
            </w:r>
          </w:p>
        </w:tc>
        <w:tc>
          <w:tcPr>
            <w:tcW w:type="dxa" w:w="1234"/>
          </w:tcPr>
          <w:p>
            <w:r>
              <w:rPr>
                <w:rFonts w:ascii="Calibri" w:hAnsi="Calibri"/>
                <w:sz w:val="22"/>
              </w:rPr>
              <w:t>+2.7%</w:t>
            </w:r>
          </w:p>
        </w:tc>
        <w:tc>
          <w:tcPr>
            <w:tcW w:type="dxa" w:w="1234"/>
          </w:tcPr>
          <w:p>
            <w:r>
              <w:rPr>
                <w:rFonts w:ascii="Calibri" w:hAnsi="Calibri"/>
                <w:sz w:val="22"/>
              </w:rPr>
              <w:t>-130 bps YoY</w:t>
            </w:r>
          </w:p>
        </w:tc>
        <w:tc>
          <w:tcPr>
            <w:tcW w:type="dxa" w:w="1234"/>
          </w:tcPr>
          <w:p>
            <w:r>
              <w:rPr>
                <w:rFonts w:ascii="Calibri" w:hAnsi="Calibri"/>
                <w:sz w:val="22"/>
              </w:rPr>
              <w:t>No explicit Q2 guidance</w:t>
            </w:r>
          </w:p>
        </w:tc>
        <w:tc>
          <w:tcPr>
            <w:tcW w:type="dxa" w:w="1234"/>
          </w:tcPr>
          <w:p>
            <w:r>
              <w:rPr>
                <w:rFonts w:ascii="Calibri" w:hAnsi="Calibri"/>
                <w:sz w:val="22"/>
              </w:rPr>
              <w:t>N/A</w:t>
            </w:r>
          </w:p>
        </w:tc>
      </w:tr>
      <w:tr>
        <w:tc>
          <w:tcPr>
            <w:tcW w:type="dxa" w:w="1234"/>
          </w:tcPr>
          <w:p>
            <w:r>
              <w:rPr>
                <w:rFonts w:ascii="Calibri" w:hAnsi="Calibri"/>
                <w:sz w:val="22"/>
              </w:rPr>
              <w:t>Renewal Rent Growth — Same Store (%)</w:t>
            </w:r>
          </w:p>
        </w:tc>
        <w:tc>
          <w:tcPr>
            <w:tcW w:type="dxa" w:w="1234"/>
          </w:tcPr>
          <w:p>
            <w:r>
              <w:rPr>
                <w:rFonts w:ascii="Calibri" w:hAnsi="Calibri"/>
                <w:sz w:val="22"/>
              </w:rPr>
              <w:t>+3.7%</w:t>
            </w:r>
          </w:p>
        </w:tc>
        <w:tc>
          <w:tcPr>
            <w:tcW w:type="dxa" w:w="1234"/>
          </w:tcPr>
          <w:p>
            <w:r>
              <w:rPr>
                <w:rFonts w:ascii="Calibri" w:hAnsi="Calibri"/>
                <w:sz w:val="22"/>
              </w:rPr>
              <w:t>+4.7%</w:t>
            </w:r>
          </w:p>
        </w:tc>
        <w:tc>
          <w:tcPr>
            <w:tcW w:type="dxa" w:w="1234"/>
          </w:tcPr>
          <w:p>
            <w:r>
              <w:rPr>
                <w:rFonts w:ascii="Calibri" w:hAnsi="Calibri"/>
                <w:sz w:val="22"/>
              </w:rPr>
              <w:t>+3.4%</w:t>
            </w:r>
          </w:p>
        </w:tc>
        <w:tc>
          <w:tcPr>
            <w:tcW w:type="dxa" w:w="1234"/>
          </w:tcPr>
          <w:p>
            <w:r>
              <w:rPr>
                <w:rFonts w:ascii="Calibri" w:hAnsi="Calibri"/>
                <w:sz w:val="22"/>
              </w:rPr>
              <w:t>-130 bps YoY</w:t>
            </w:r>
          </w:p>
        </w:tc>
        <w:tc>
          <w:tcPr>
            <w:tcW w:type="dxa" w:w="1234"/>
          </w:tcPr>
          <w:p>
            <w:r>
              <w:rPr>
                <w:rFonts w:ascii="Calibri" w:hAnsi="Calibri"/>
                <w:sz w:val="22"/>
              </w:rPr>
              <w:t>Mid-3s to mid-4s (mgmt. commentary)</w:t>
            </w:r>
          </w:p>
        </w:tc>
        <w:tc>
          <w:tcPr>
            <w:tcW w:type="dxa" w:w="1234"/>
          </w:tcPr>
          <w:p>
            <w:r>
              <w:rPr>
                <w:rFonts w:ascii="Calibri" w:hAnsi="Calibri"/>
                <w:sz w:val="22"/>
              </w:rPr>
              <w:t>~In-line</w:t>
            </w:r>
          </w:p>
        </w:tc>
      </w:tr>
      <w:tr>
        <w:tc>
          <w:tcPr>
            <w:tcW w:type="dxa" w:w="1234"/>
          </w:tcPr>
          <w:p>
            <w:r>
              <w:rPr>
                <w:rFonts w:ascii="Calibri" w:hAnsi="Calibri"/>
                <w:sz w:val="22"/>
              </w:rPr>
              <w:t>New Lease Rent Growth — Same Store (%)</w:t>
            </w:r>
          </w:p>
        </w:tc>
        <w:tc>
          <w:tcPr>
            <w:tcW w:type="dxa" w:w="1234"/>
          </w:tcPr>
          <w:p>
            <w:r>
              <w:rPr>
                <w:rFonts w:ascii="Calibri" w:hAnsi="Calibri"/>
                <w:sz w:val="22"/>
              </w:rPr>
              <w:t>-3.0%</w:t>
            </w:r>
          </w:p>
        </w:tc>
        <w:tc>
          <w:tcPr>
            <w:tcW w:type="dxa" w:w="1234"/>
          </w:tcPr>
          <w:p>
            <w:r>
              <w:rPr>
                <w:rFonts w:ascii="Calibri" w:hAnsi="Calibri"/>
                <w:sz w:val="22"/>
              </w:rPr>
              <w:t>+2.2%</w:t>
            </w:r>
          </w:p>
        </w:tc>
        <w:tc>
          <w:tcPr>
            <w:tcW w:type="dxa" w:w="1234"/>
          </w:tcPr>
          <w:p>
            <w:r>
              <w:rPr>
                <w:rFonts w:ascii="Calibri" w:hAnsi="Calibri"/>
                <w:sz w:val="22"/>
              </w:rPr>
              <w:t>+0.7%</w:t>
            </w:r>
          </w:p>
        </w:tc>
        <w:tc>
          <w:tcPr>
            <w:tcW w:type="dxa" w:w="1234"/>
          </w:tcPr>
          <w:p>
            <w:r>
              <w:rPr>
                <w:rFonts w:ascii="Calibri" w:hAnsi="Calibri"/>
                <w:sz w:val="22"/>
              </w:rPr>
              <w:t>-150 bps YoY</w:t>
            </w:r>
          </w:p>
        </w:tc>
        <w:tc>
          <w:tcPr>
            <w:tcW w:type="dxa" w:w="1234"/>
          </w:tcPr>
          <w:p>
            <w:r>
              <w:rPr>
                <w:rFonts w:ascii="Calibri" w:hAnsi="Calibri"/>
                <w:sz w:val="22"/>
              </w:rPr>
              <w:t>Positive in Apr &amp; May (mgmt. commentary)</w:t>
            </w:r>
          </w:p>
        </w:tc>
        <w:tc>
          <w:tcPr>
            <w:tcW w:type="dxa" w:w="1234"/>
          </w:tcPr>
          <w:p>
            <w:r>
              <w:rPr>
                <w:rFonts w:ascii="Calibri" w:hAnsi="Calibri"/>
                <w:sz w:val="22"/>
              </w:rPr>
              <w:t>~In-line</w:t>
            </w:r>
          </w:p>
        </w:tc>
      </w:tr>
      <w:tr>
        <w:tc>
          <w:tcPr>
            <w:tcW w:type="dxa" w:w="1234"/>
          </w:tcPr>
          <w:p>
            <w:r>
              <w:rPr>
                <w:rFonts w:ascii="Calibri" w:hAnsi="Calibri"/>
                <w:sz w:val="22"/>
              </w:rPr>
              <w:t>Same-Store Rent per Home/Month ($)</w:t>
            </w:r>
          </w:p>
        </w:tc>
        <w:tc>
          <w:tcPr>
            <w:tcW w:type="dxa" w:w="1234"/>
          </w:tcPr>
          <w:p>
            <w:r>
              <w:rPr>
                <w:rFonts w:ascii="Calibri" w:hAnsi="Calibri"/>
                <w:sz w:val="22"/>
              </w:rPr>
              <w:t>$2,474</w:t>
            </w:r>
          </w:p>
        </w:tc>
        <w:tc>
          <w:tcPr>
            <w:tcW w:type="dxa" w:w="1234"/>
          </w:tcPr>
          <w:p>
            <w:r>
              <w:rPr>
                <w:rFonts w:ascii="Calibri" w:hAnsi="Calibri"/>
                <w:sz w:val="22"/>
              </w:rPr>
              <w:t>$2,436</w:t>
            </w:r>
          </w:p>
        </w:tc>
        <w:tc>
          <w:tcPr>
            <w:tcW w:type="dxa" w:w="1234"/>
          </w:tcPr>
          <w:p>
            <w:r>
              <w:rPr>
                <w:rFonts w:ascii="Calibri" w:hAnsi="Calibri"/>
                <w:sz w:val="22"/>
              </w:rPr>
              <w:t>$2,489</w:t>
            </w:r>
          </w:p>
        </w:tc>
        <w:tc>
          <w:tcPr>
            <w:tcW w:type="dxa" w:w="1234"/>
          </w:tcPr>
          <w:p>
            <w:r>
              <w:rPr>
                <w:rFonts w:ascii="Calibri" w:hAnsi="Calibri"/>
                <w:sz w:val="22"/>
              </w:rPr>
              <w:t>+$53 / +2.2%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Total Revenues ($M)</w:t>
            </w:r>
          </w:p>
        </w:tc>
        <w:tc>
          <w:tcPr>
            <w:tcW w:type="dxa" w:w="1234"/>
          </w:tcPr>
          <w:p>
            <w:r>
              <w:rPr>
                <w:rFonts w:ascii="Calibri" w:hAnsi="Calibri"/>
                <w:sz w:val="22"/>
              </w:rPr>
              <w:t>$734.1M</w:t>
            </w:r>
          </w:p>
        </w:tc>
        <w:tc>
          <w:tcPr>
            <w:tcW w:type="dxa" w:w="1234"/>
          </w:tcPr>
          <w:p>
            <w:r>
              <w:rPr>
                <w:rFonts w:ascii="Calibri" w:hAnsi="Calibri"/>
                <w:sz w:val="22"/>
              </w:rPr>
              <w:t>$681.4M</w:t>
            </w:r>
          </w:p>
        </w:tc>
        <w:tc>
          <w:tcPr>
            <w:tcW w:type="dxa" w:w="1234"/>
          </w:tcPr>
          <w:p>
            <w:r>
              <w:rPr>
                <w:rFonts w:ascii="Calibri" w:hAnsi="Calibri"/>
                <w:sz w:val="22"/>
              </w:rPr>
              <w:t>$728.0M</w:t>
            </w:r>
          </w:p>
        </w:tc>
        <w:tc>
          <w:tcPr>
            <w:tcW w:type="dxa" w:w="1234"/>
          </w:tcPr>
          <w:p>
            <w:r>
              <w:rPr>
                <w:rFonts w:ascii="Calibri" w:hAnsi="Calibri"/>
                <w:sz w:val="22"/>
              </w:rPr>
              <w:t>+$46.6M / +6.8% YoY</w:t>
            </w:r>
          </w:p>
        </w:tc>
        <w:tc>
          <w:tcPr>
            <w:tcW w:type="dxa" w:w="1234"/>
          </w:tcPr>
          <w:p>
            <w:r>
              <w:rPr>
                <w:rFonts w:ascii="Calibri" w:hAnsi="Calibri"/>
                <w:sz w:val="22"/>
              </w:rPr>
              <w:t>FY 2026: ~$2.92B (implied)</w:t>
            </w:r>
          </w:p>
        </w:tc>
        <w:tc>
          <w:tcPr>
            <w:tcW w:type="dxa" w:w="1234"/>
          </w:tcPr>
          <w:p>
            <w:r>
              <w:rPr>
                <w:rFonts w:ascii="Calibri" w:hAnsi="Calibri"/>
                <w:sz w:val="22"/>
              </w:rPr>
              <w:t>~In-line</w:t>
            </w:r>
          </w:p>
        </w:tc>
      </w:tr>
    </w:tbl>
    <w:p>
      <w:r>
        <w:rPr>
          <w:rFonts w:ascii="Calibri" w:hAnsi="Calibri"/>
          <w:i/>
          <w:color w:val="525866"/>
          <w:sz w:val="22"/>
        </w:rPr>
        <w:t>Sources: Visible Alpha Consensus and Actuals Data. Q1 2026 actuals and Q2 2025 actuals from Visible Alpha. Q2 2026 consensus estimates from Visible Alpha (latest as of July 28, 2026). FY 2026 guidance ranges from Q4 2025 earnings call (February 2026), maintained at Q1 2026 earnings (April 29, 2026). Note: Q1 2026 Total Revenues of $734.1M includes ResiBuilt homebuilding revenues following the January 2026 acquisition; prior-year comparison is not directly comparable on a same-store basis.</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Core FFO per Share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$0.47</w:t>
            </w:r>
          </w:p>
        </w:tc>
        <w:tc>
          <w:tcPr>
            <w:tcW w:type="dxa" w:w="1728"/>
          </w:tcPr>
          <w:p>
            <w:r>
              <w:rPr>
                <w:rFonts w:ascii="Calibri" w:hAnsi="Calibri"/>
                <w:sz w:val="22"/>
              </w:rPr>
              <w:t>$0.470</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Q3 2024</w:t>
            </w:r>
          </w:p>
        </w:tc>
        <w:tc>
          <w:tcPr>
            <w:tcW w:type="dxa" w:w="1728"/>
          </w:tcPr>
          <w:p>
            <w:r>
              <w:rPr>
                <w:rFonts w:ascii="Calibri" w:hAnsi="Calibri"/>
                <w:sz w:val="22"/>
              </w:rPr>
              <w:t>$0.47</w:t>
            </w:r>
          </w:p>
        </w:tc>
        <w:tc>
          <w:tcPr>
            <w:tcW w:type="dxa" w:w="1728"/>
          </w:tcPr>
          <w:p>
            <w:r>
              <w:rPr>
                <w:rFonts w:ascii="Calibri" w:hAnsi="Calibri"/>
                <w:sz w:val="22"/>
              </w:rPr>
              <w:t>$0.462</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$0.47</w:t>
            </w:r>
          </w:p>
        </w:tc>
        <w:tc>
          <w:tcPr>
            <w:tcW w:type="dxa" w:w="1728"/>
          </w:tcPr>
          <w:p>
            <w:r>
              <w:rPr>
                <w:rFonts w:ascii="Calibri" w:hAnsi="Calibri"/>
                <w:sz w:val="22"/>
              </w:rPr>
              <w:t>$0.473</w:t>
            </w:r>
          </w:p>
        </w:tc>
        <w:tc>
          <w:tcPr>
            <w:tcW w:type="dxa" w:w="1728"/>
          </w:tcPr>
          <w:p>
            <w:r>
              <w:rPr>
                <w:rFonts w:ascii="Calibri" w:hAnsi="Calibri"/>
                <w:sz w:val="22"/>
              </w:rPr>
              <w:t>-0.6%</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$0.48</w:t>
            </w:r>
          </w:p>
        </w:tc>
        <w:tc>
          <w:tcPr>
            <w:tcW w:type="dxa" w:w="1728"/>
          </w:tcPr>
          <w:p>
            <w:r>
              <w:rPr>
                <w:rFonts w:ascii="Calibri" w:hAnsi="Calibri"/>
                <w:sz w:val="22"/>
              </w:rPr>
              <w:t>$0.473</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$0.48</w:t>
            </w:r>
          </w:p>
        </w:tc>
        <w:tc>
          <w:tcPr>
            <w:tcW w:type="dxa" w:w="1728"/>
          </w:tcPr>
          <w:p>
            <w:r>
              <w:rPr>
                <w:rFonts w:ascii="Calibri" w:hAnsi="Calibri"/>
                <w:sz w:val="22"/>
              </w:rPr>
              <w:t>$0.476</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$0.47</w:t>
            </w:r>
          </w:p>
        </w:tc>
        <w:tc>
          <w:tcPr>
            <w:tcW w:type="dxa" w:w="1728"/>
          </w:tcPr>
          <w:p>
            <w:r>
              <w:rPr>
                <w:rFonts w:ascii="Calibri" w:hAnsi="Calibri"/>
                <w:sz w:val="22"/>
              </w:rPr>
              <w:t>$0.470</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Q4 2025</w:t>
            </w:r>
          </w:p>
        </w:tc>
        <w:tc>
          <w:tcPr>
            <w:tcW w:type="dxa" w:w="1728"/>
          </w:tcPr>
          <w:p>
            <w:r>
              <w:rPr>
                <w:rFonts w:ascii="Calibri" w:hAnsi="Calibri"/>
                <w:sz w:val="22"/>
              </w:rPr>
              <w:t>$0.48</w:t>
            </w:r>
          </w:p>
        </w:tc>
        <w:tc>
          <w:tcPr>
            <w:tcW w:type="dxa" w:w="1728"/>
          </w:tcPr>
          <w:p>
            <w:r>
              <w:rPr>
                <w:rFonts w:ascii="Calibri" w:hAnsi="Calibri"/>
                <w:sz w:val="22"/>
              </w:rPr>
              <w:t>$0.480</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Q1 2026</w:t>
            </w:r>
          </w:p>
        </w:tc>
        <w:tc>
          <w:tcPr>
            <w:tcW w:type="dxa" w:w="1728"/>
          </w:tcPr>
          <w:p>
            <w:r>
              <w:rPr>
                <w:rFonts w:ascii="Calibri" w:hAnsi="Calibri"/>
                <w:sz w:val="22"/>
              </w:rPr>
              <w:t>$0.48</w:t>
            </w:r>
          </w:p>
        </w:tc>
        <w:tc>
          <w:tcPr>
            <w:tcW w:type="dxa" w:w="1728"/>
          </w:tcPr>
          <w:p>
            <w:r>
              <w:rPr>
                <w:rFonts w:ascii="Calibri" w:hAnsi="Calibri"/>
                <w:sz w:val="22"/>
              </w:rPr>
              <w:t>$0.483</w:t>
            </w:r>
          </w:p>
        </w:tc>
        <w:tc>
          <w:tcPr>
            <w:tcW w:type="dxa" w:w="1728"/>
          </w:tcPr>
          <w:p>
            <w:r>
              <w:rPr>
                <w:rFonts w:ascii="Calibri" w:hAnsi="Calibri"/>
                <w:sz w:val="22"/>
              </w:rPr>
              <w:t>-0.6%</w:t>
            </w:r>
          </w:p>
        </w:tc>
        <w:tc>
          <w:tcPr>
            <w:tcW w:type="dxa" w:w="1728"/>
          </w:tcPr>
          <w:p>
            <w:r>
              <w:rPr>
                <w:rFonts w:ascii="Calibri" w:hAnsi="Calibri"/>
                <w:b/>
                <w:color w:val="E5484D"/>
                <w:sz w:val="22"/>
              </w:rPr>
              <w:t>Miss</w:t>
            </w:r>
          </w:p>
        </w:tc>
      </w:tr>
    </w:tbl>
    <w:p>
      <w:pPr>
        <w:pStyle w:val="Heading3"/>
      </w:pPr>
      <w:r>
        <w:rPr>
          <w:rFonts w:ascii="Calibri" w:hAnsi="Calibri"/>
          <w:b/>
          <w:color w:val="3B4259"/>
          <w:sz w:val="24"/>
        </w:rPr>
        <w:t>Blended Rent Growth — Same Store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5.0%</w:t>
            </w:r>
          </w:p>
        </w:tc>
        <w:tc>
          <w:tcPr>
            <w:tcW w:type="dxa" w:w="1728"/>
          </w:tcPr>
          <w:p>
            <w:r>
              <w:rPr>
                <w:rFonts w:ascii="Calibri" w:hAnsi="Calibri"/>
                <w:sz w:val="22"/>
              </w:rPr>
              <w:t>5.4%</w:t>
            </w:r>
          </w:p>
        </w:tc>
        <w:tc>
          <w:tcPr>
            <w:tcW w:type="dxa" w:w="1728"/>
          </w:tcPr>
          <w:p>
            <w:r>
              <w:rPr>
                <w:rFonts w:ascii="Calibri" w:hAnsi="Calibri"/>
                <w:sz w:val="22"/>
              </w:rPr>
              <w:t>-38 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3.6%</w:t>
            </w:r>
          </w:p>
        </w:tc>
        <w:tc>
          <w:tcPr>
            <w:tcW w:type="dxa" w:w="1728"/>
          </w:tcPr>
          <w:p>
            <w:r>
              <w:rPr>
                <w:rFonts w:ascii="Calibri" w:hAnsi="Calibri"/>
                <w:sz w:val="22"/>
              </w:rPr>
              <w:t>3.6%</w:t>
            </w:r>
          </w:p>
        </w:tc>
        <w:tc>
          <w:tcPr>
            <w:tcW w:type="dxa" w:w="1728"/>
          </w:tcPr>
          <w:p>
            <w:r>
              <w:rPr>
                <w:rFonts w:ascii="Calibri" w:hAnsi="Calibri"/>
                <w:sz w:val="22"/>
              </w:rPr>
              <w:t>-4 bps</w:t>
            </w:r>
          </w:p>
        </w:tc>
        <w:tc>
          <w:tcPr>
            <w:tcW w:type="dxa" w:w="1728"/>
          </w:tcPr>
          <w:p>
            <w:r>
              <w:rPr>
                <w:rFonts w:ascii="Calibri" w:hAnsi="Calibri"/>
                <w:sz w:val="22"/>
              </w:rPr>
              <w:t>In-Line</w:t>
            </w:r>
          </w:p>
        </w:tc>
      </w:tr>
      <w:tr>
        <w:tc>
          <w:tcPr>
            <w:tcW w:type="dxa" w:w="1728"/>
          </w:tcPr>
          <w:p>
            <w:r>
              <w:rPr>
                <w:rFonts w:ascii="Calibri" w:hAnsi="Calibri"/>
                <w:sz w:val="22"/>
              </w:rPr>
              <w:t>Q4 2024</w:t>
            </w:r>
          </w:p>
        </w:tc>
        <w:tc>
          <w:tcPr>
            <w:tcW w:type="dxa" w:w="1728"/>
          </w:tcPr>
          <w:p>
            <w:r>
              <w:rPr>
                <w:rFonts w:ascii="Calibri" w:hAnsi="Calibri"/>
                <w:sz w:val="22"/>
              </w:rPr>
              <w:t>2.3%</w:t>
            </w:r>
          </w:p>
        </w:tc>
        <w:tc>
          <w:tcPr>
            <w:tcW w:type="dxa" w:w="1728"/>
          </w:tcPr>
          <w:p>
            <w:r>
              <w:rPr>
                <w:rFonts w:ascii="Calibri" w:hAnsi="Calibri"/>
                <w:sz w:val="22"/>
              </w:rPr>
              <w:t>2.9%</w:t>
            </w:r>
          </w:p>
        </w:tc>
        <w:tc>
          <w:tcPr>
            <w:tcW w:type="dxa" w:w="1728"/>
          </w:tcPr>
          <w:p>
            <w:r>
              <w:rPr>
                <w:rFonts w:ascii="Calibri" w:hAnsi="Calibri"/>
                <w:sz w:val="22"/>
              </w:rPr>
              <w:t>-57 bps</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3.6%</w:t>
            </w:r>
          </w:p>
        </w:tc>
        <w:tc>
          <w:tcPr>
            <w:tcW w:type="dxa" w:w="1728"/>
          </w:tcPr>
          <w:p>
            <w:r>
              <w:rPr>
                <w:rFonts w:ascii="Calibri" w:hAnsi="Calibri"/>
                <w:sz w:val="22"/>
              </w:rPr>
              <w:t>3.6%</w:t>
            </w:r>
          </w:p>
        </w:tc>
        <w:tc>
          <w:tcPr>
            <w:tcW w:type="dxa" w:w="1728"/>
          </w:tcPr>
          <w:p>
            <w:r>
              <w:rPr>
                <w:rFonts w:ascii="Calibri" w:hAnsi="Calibri"/>
                <w:sz w:val="22"/>
              </w:rPr>
              <w:t>-1 bp</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4.0%</w:t>
            </w:r>
          </w:p>
        </w:tc>
        <w:tc>
          <w:tcPr>
            <w:tcW w:type="dxa" w:w="1728"/>
          </w:tcPr>
          <w:p>
            <w:r>
              <w:rPr>
                <w:rFonts w:ascii="Calibri" w:hAnsi="Calibri"/>
                <w:sz w:val="22"/>
              </w:rPr>
              <w:t>4.1%</w:t>
            </w:r>
          </w:p>
        </w:tc>
        <w:tc>
          <w:tcPr>
            <w:tcW w:type="dxa" w:w="1728"/>
          </w:tcPr>
          <w:p>
            <w:r>
              <w:rPr>
                <w:rFonts w:ascii="Calibri" w:hAnsi="Calibri"/>
                <w:sz w:val="22"/>
              </w:rPr>
              <w:t>-6 bps</w:t>
            </w:r>
          </w:p>
        </w:tc>
        <w:tc>
          <w:tcPr>
            <w:tcW w:type="dxa" w:w="1728"/>
          </w:tcPr>
          <w:p>
            <w:r>
              <w:rPr>
                <w:rFonts w:ascii="Calibri" w:hAnsi="Calibri"/>
                <w:sz w:val="22"/>
              </w:rPr>
              <w:t>In-Line</w:t>
            </w:r>
          </w:p>
        </w:tc>
      </w:tr>
      <w:tr>
        <w:tc>
          <w:tcPr>
            <w:tcW w:type="dxa" w:w="1728"/>
          </w:tcPr>
          <w:p>
            <w:r>
              <w:rPr>
                <w:rFonts w:ascii="Calibri" w:hAnsi="Calibri"/>
                <w:sz w:val="22"/>
              </w:rPr>
              <w:t>Q3 2025</w:t>
            </w:r>
          </w:p>
        </w:tc>
        <w:tc>
          <w:tcPr>
            <w:tcW w:type="dxa" w:w="1728"/>
          </w:tcPr>
          <w:p>
            <w:r>
              <w:rPr>
                <w:rFonts w:ascii="Calibri" w:hAnsi="Calibri"/>
                <w:sz w:val="22"/>
              </w:rPr>
              <w:t>3.0%</w:t>
            </w:r>
          </w:p>
        </w:tc>
        <w:tc>
          <w:tcPr>
            <w:tcW w:type="dxa" w:w="1728"/>
          </w:tcPr>
          <w:p>
            <w:r>
              <w:rPr>
                <w:rFonts w:ascii="Calibri" w:hAnsi="Calibri"/>
                <w:sz w:val="22"/>
              </w:rPr>
              <w:t>3.6%</w:t>
            </w:r>
          </w:p>
        </w:tc>
        <w:tc>
          <w:tcPr>
            <w:tcW w:type="dxa" w:w="1728"/>
          </w:tcPr>
          <w:p>
            <w:r>
              <w:rPr>
                <w:rFonts w:ascii="Calibri" w:hAnsi="Calibri"/>
                <w:sz w:val="22"/>
              </w:rPr>
              <w:t>-65 bps</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1.8%</w:t>
            </w:r>
          </w:p>
        </w:tc>
        <w:tc>
          <w:tcPr>
            <w:tcW w:type="dxa" w:w="1728"/>
          </w:tcPr>
          <w:p>
            <w:r>
              <w:rPr>
                <w:rFonts w:ascii="Calibri" w:hAnsi="Calibri"/>
                <w:sz w:val="22"/>
              </w:rPr>
              <w:t>1.8%</w:t>
            </w:r>
          </w:p>
        </w:tc>
        <w:tc>
          <w:tcPr>
            <w:tcW w:type="dxa" w:w="1728"/>
          </w:tcPr>
          <w:p>
            <w:r>
              <w:rPr>
                <w:rFonts w:ascii="Calibri" w:hAnsi="Calibri"/>
                <w:sz w:val="22"/>
              </w:rPr>
              <w:t>0 bps</w:t>
            </w:r>
          </w:p>
        </w:tc>
        <w:tc>
          <w:tcPr>
            <w:tcW w:type="dxa" w:w="1728"/>
          </w:tcPr>
          <w:p>
            <w:r>
              <w:rPr>
                <w:rFonts w:ascii="Calibri" w:hAnsi="Calibri"/>
                <w:sz w:val="22"/>
              </w:rPr>
              <w:t>In-Line</w:t>
            </w:r>
          </w:p>
        </w:tc>
      </w:tr>
      <w:tr>
        <w:tc>
          <w:tcPr>
            <w:tcW w:type="dxa" w:w="1728"/>
          </w:tcPr>
          <w:p>
            <w:r>
              <w:rPr>
                <w:rFonts w:ascii="Calibri" w:hAnsi="Calibri"/>
                <w:sz w:val="22"/>
              </w:rPr>
              <w:t>Q1 2026</w:t>
            </w:r>
          </w:p>
        </w:tc>
        <w:tc>
          <w:tcPr>
            <w:tcW w:type="dxa" w:w="1728"/>
          </w:tcPr>
          <w:p>
            <w:r>
              <w:rPr>
                <w:rFonts w:ascii="Calibri" w:hAnsi="Calibri"/>
                <w:sz w:val="22"/>
              </w:rPr>
              <w:t>1.6%</w:t>
            </w:r>
          </w:p>
        </w:tc>
        <w:tc>
          <w:tcPr>
            <w:tcW w:type="dxa" w:w="1728"/>
          </w:tcPr>
          <w:p>
            <w:r>
              <w:rPr>
                <w:rFonts w:ascii="Calibri" w:hAnsi="Calibri"/>
                <w:sz w:val="22"/>
              </w:rPr>
              <w:t>1.7%</w:t>
            </w:r>
          </w:p>
        </w:tc>
        <w:tc>
          <w:tcPr>
            <w:tcW w:type="dxa" w:w="1728"/>
          </w:tcPr>
          <w:p>
            <w:r>
              <w:rPr>
                <w:rFonts w:ascii="Calibri" w:hAnsi="Calibri"/>
                <w:sz w:val="22"/>
              </w:rPr>
              <w:t>-7 bps</w:t>
            </w:r>
          </w:p>
        </w:tc>
        <w:tc>
          <w:tcPr>
            <w:tcW w:type="dxa" w:w="1728"/>
          </w:tcPr>
          <w:p>
            <w:r>
              <w:rPr>
                <w:rFonts w:ascii="Calibri" w:hAnsi="Calibri"/>
                <w:sz w:val="22"/>
              </w:rPr>
              <w:t>In-Line</w:t>
            </w:r>
          </w:p>
        </w:tc>
      </w:tr>
    </w:tbl>
    <w:p>
      <w:r>
        <w:rPr>
          <w:rFonts w:ascii="Calibri" w:hAnsi="Calibri"/>
          <w:b/>
          <w:color w:val="525866"/>
          <w:sz w:val="22"/>
        </w:rPr>
        <w:t xml:space="preserve">Pattern: </w:t>
      </w:r>
      <w:r>
        <w:rPr>
          <w:rFonts w:ascii="Calibri" w:hAnsi="Calibri"/>
          <w:i/>
          <w:color w:val="525866"/>
          <w:sz w:val="22"/>
        </w:rPr>
        <w:t>Core FFO has been remarkably stable, printing within a penny of consensus in 6 of the last 8 quarters — INVH is a “no surprise” story on earnings. Blended rent growth has been the more volatile KPI, with a consistent pattern of missing consensus when supply headwinds intensified (Q2 2024, Q4 2024, Q3 2025); the Q1 2026 near-in-line print marked the first quarter where new lease rate growth was the primary drag rather than a surprise.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has been </w:t>
      </w:r>
      <w:r>
        <w:rPr>
          <w:rFonts w:ascii="Calibri" w:hAnsi="Calibri"/>
          <w:b/>
          <w:color w:val="525866"/>
          <w:sz w:val="22"/>
        </w:rPr>
        <w:t>unchanged since February</w:t>
      </w:r>
      <w:r>
        <w:rPr>
          <w:rFonts w:ascii="Calibri" w:hAnsi="Calibri"/>
          <w:color w:val="525866"/>
          <w:sz w:val="22"/>
        </w:rPr>
        <w:t xml:space="preserve"> — management held the line at Q1 earnings despite better-than-expected dispositions and favorable insurance, citing early stage of year. Intra-quarter commentary at Nareit REITweek (June 2) was </w:t>
      </w:r>
      <w:r>
        <w:rPr>
          <w:rFonts w:ascii="Calibri" w:hAnsi="Calibri"/>
          <w:b/>
          <w:color w:val="525866"/>
          <w:sz w:val="22"/>
        </w:rPr>
        <w:t>meaningfully more constructive</w:t>
      </w:r>
      <w:r>
        <w:rPr>
          <w:rFonts w:ascii="Calibri" w:hAnsi="Calibri"/>
          <w:color w:val="525866"/>
          <w:sz w:val="22"/>
        </w:rPr>
        <w:t>, with occupancy and blended rent growth both accelerating ~100 bps from Q1 through May, raising the probability of a guidance raise at Q2 results.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Feb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Core FFO per Share (FY 2026)</w:t>
            </w:r>
          </w:p>
        </w:tc>
        <w:tc>
          <w:tcPr>
            <w:tcW w:type="dxa" w:w="1728"/>
          </w:tcPr>
          <w:p>
            <w:r>
              <w:rPr>
                <w:rFonts w:ascii="Calibri" w:hAnsi="Calibri"/>
                <w:sz w:val="22"/>
              </w:rPr>
              <w:t>$1.90 – $1.98 ($1.94 mid)</w:t>
            </w:r>
          </w:p>
        </w:tc>
        <w:tc>
          <w:tcPr>
            <w:tcW w:type="dxa" w:w="1728"/>
          </w:tcPr>
          <w:p>
            <w:r>
              <w:rPr>
                <w:rFonts w:ascii="Calibri" w:hAnsi="Calibri"/>
                <w:sz w:val="22"/>
              </w:rPr>
              <w:t>— (unchanged)</w:t>
            </w:r>
          </w:p>
        </w:tc>
        <w:tc>
          <w:tcPr>
            <w:tcW w:type="dxa" w:w="1728"/>
          </w:tcPr>
          <w:p>
            <w:r>
              <w:rPr>
                <w:rFonts w:ascii="Calibri" w:hAnsi="Calibri"/>
                <w:sz w:val="22"/>
              </w:rPr>
              <w:t>$1.946</w:t>
            </w:r>
          </w:p>
        </w:tc>
        <w:tc>
          <w:tcPr>
            <w:tcW w:type="dxa" w:w="1728"/>
          </w:tcPr>
          <w:p>
            <w:r>
              <w:rPr>
                <w:rFonts w:ascii="Calibri" w:hAnsi="Calibri"/>
                <w:sz w:val="22"/>
              </w:rPr>
              <w:t>Maintained at Q1 2026 earnings (Apr 29). Buyback acceleration and favorable insurance not “hugely material” per CFO.</w:t>
            </w:r>
          </w:p>
        </w:tc>
      </w:tr>
      <w:tr>
        <w:tc>
          <w:tcPr>
            <w:tcW w:type="dxa" w:w="1728"/>
          </w:tcPr>
          <w:p>
            <w:r>
              <w:rPr>
                <w:rFonts w:ascii="Calibri" w:hAnsi="Calibri"/>
                <w:sz w:val="22"/>
              </w:rPr>
              <w:t>AFFO per Share (FY 2026)</w:t>
            </w:r>
          </w:p>
        </w:tc>
        <w:tc>
          <w:tcPr>
            <w:tcW w:type="dxa" w:w="1728"/>
          </w:tcPr>
          <w:p>
            <w:r>
              <w:rPr>
                <w:rFonts w:ascii="Calibri" w:hAnsi="Calibri"/>
                <w:sz w:val="22"/>
              </w:rPr>
              <w:t>$1.60 – $1.68 ($1.64 mid)</w:t>
            </w:r>
          </w:p>
        </w:tc>
        <w:tc>
          <w:tcPr>
            <w:tcW w:type="dxa" w:w="1728"/>
          </w:tcPr>
          <w:p>
            <w:r>
              <w:rPr>
                <w:rFonts w:ascii="Calibri" w:hAnsi="Calibri"/>
                <w:sz w:val="22"/>
              </w:rPr>
              <w:t>— (unchanged)</w:t>
            </w:r>
          </w:p>
        </w:tc>
        <w:tc>
          <w:tcPr>
            <w:tcW w:type="dxa" w:w="1728"/>
          </w:tcPr>
          <w:p>
            <w:r>
              <w:rPr>
                <w:rFonts w:ascii="Calibri" w:hAnsi="Calibri"/>
                <w:sz w:val="22"/>
              </w:rPr>
              <w:t>$1.645</w:t>
            </w:r>
          </w:p>
        </w:tc>
        <w:tc>
          <w:tcPr>
            <w:tcW w:type="dxa" w:w="1728"/>
          </w:tcPr>
          <w:p>
            <w:r>
              <w:rPr>
                <w:rFonts w:ascii="Calibri" w:hAnsi="Calibri"/>
                <w:sz w:val="22"/>
              </w:rPr>
              <w:t>Maintained at Q1 2026 earnings (Apr 29). Tracking closely to internal numbers.</w:t>
            </w:r>
          </w:p>
        </w:tc>
      </w:tr>
      <w:tr>
        <w:tc>
          <w:tcPr>
            <w:tcW w:type="dxa" w:w="1728"/>
          </w:tcPr>
          <w:p>
            <w:r>
              <w:rPr>
                <w:rFonts w:ascii="Calibri" w:hAnsi="Calibri"/>
                <w:sz w:val="22"/>
              </w:rPr>
              <w:t>Same-Store NOI Growth (FY 2026)</w:t>
            </w:r>
          </w:p>
        </w:tc>
        <w:tc>
          <w:tcPr>
            <w:tcW w:type="dxa" w:w="1728"/>
          </w:tcPr>
          <w:p>
            <w:r>
              <w:rPr>
                <w:rFonts w:ascii="Calibri" w:hAnsi="Calibri"/>
                <w:sz w:val="22"/>
              </w:rPr>
              <w:t>0.3% – 2.0% (1.15% mid)</w:t>
            </w:r>
          </w:p>
        </w:tc>
        <w:tc>
          <w:tcPr>
            <w:tcW w:type="dxa" w:w="1728"/>
          </w:tcPr>
          <w:p>
            <w:r>
              <w:rPr>
                <w:rFonts w:ascii="Calibri" w:hAnsi="Calibri"/>
                <w:sz w:val="22"/>
              </w:rPr>
              <w:t>— (unchanged)</w:t>
            </w:r>
          </w:p>
        </w:tc>
        <w:tc>
          <w:tcPr>
            <w:tcW w:type="dxa" w:w="1728"/>
          </w:tcPr>
          <w:p>
            <w:r>
              <w:rPr>
                <w:rFonts w:ascii="Calibri" w:hAnsi="Calibri"/>
                <w:sz w:val="22"/>
              </w:rPr>
              <w:t>1.10%</w:t>
            </w:r>
          </w:p>
        </w:tc>
        <w:tc>
          <w:tcPr>
            <w:tcW w:type="dxa" w:w="1728"/>
          </w:tcPr>
          <w:p>
            <w:r>
              <w:rPr>
                <w:rFonts w:ascii="Calibri" w:hAnsi="Calibri"/>
                <w:sz w:val="22"/>
              </w:rPr>
              <w:t>Maintained at Q1 2026 earnings. Q1 came in at -0.3% (in-line with expectations). Expense comparisons expected to normalize through year.</w:t>
            </w:r>
          </w:p>
        </w:tc>
      </w:tr>
      <w:tr>
        <w:tc>
          <w:tcPr>
            <w:tcW w:type="dxa" w:w="1728"/>
          </w:tcPr>
          <w:p>
            <w:r>
              <w:rPr>
                <w:rFonts w:ascii="Calibri" w:hAnsi="Calibri"/>
                <w:sz w:val="22"/>
              </w:rPr>
              <w:t>Same-Store Revenue Growth (FY 2026)</w:t>
            </w:r>
          </w:p>
        </w:tc>
        <w:tc>
          <w:tcPr>
            <w:tcW w:type="dxa" w:w="1728"/>
          </w:tcPr>
          <w:p>
            <w:r>
              <w:rPr>
                <w:rFonts w:ascii="Calibri" w:hAnsi="Calibri"/>
                <w:sz w:val="22"/>
              </w:rPr>
              <w:t>~1.5% – 2.5% (implied)</w:t>
            </w:r>
          </w:p>
        </w:tc>
        <w:tc>
          <w:tcPr>
            <w:tcW w:type="dxa" w:w="1728"/>
          </w:tcPr>
          <w:p>
            <w:r>
              <w:rPr>
                <w:rFonts w:ascii="Calibri" w:hAnsi="Calibri"/>
                <w:sz w:val="22"/>
              </w:rPr>
              <w:t>— (unchanged)</w:t>
            </w:r>
          </w:p>
        </w:tc>
        <w:tc>
          <w:tcPr>
            <w:tcW w:type="dxa" w:w="1728"/>
          </w:tcPr>
          <w:p>
            <w:r>
              <w:rPr>
                <w:rFonts w:ascii="Calibri" w:hAnsi="Calibri"/>
                <w:sz w:val="22"/>
              </w:rPr>
              <w:t>1.85%</w:t>
            </w:r>
          </w:p>
        </w:tc>
        <w:tc>
          <w:tcPr>
            <w:tcW w:type="dxa" w:w="1728"/>
          </w:tcPr>
          <w:p>
            <w:r>
              <w:rPr>
                <w:rFonts w:ascii="Calibri" w:hAnsi="Calibri"/>
                <w:sz w:val="22"/>
              </w:rPr>
              <w:t>Maintained. Q1 same-store revenue grew 1.6% YoY; accelerating into Q2 per Nareit commentary.</w:t>
            </w:r>
          </w:p>
        </w:tc>
      </w:tr>
      <w:tr>
        <w:tc>
          <w:tcPr>
            <w:tcW w:type="dxa" w:w="1728"/>
          </w:tcPr>
          <w:p>
            <w:r>
              <w:rPr>
                <w:rFonts w:ascii="Calibri" w:hAnsi="Calibri"/>
                <w:sz w:val="22"/>
              </w:rPr>
              <w:t>Same-Store Expense Growth (FY 2026)</w:t>
            </w:r>
          </w:p>
        </w:tc>
        <w:tc>
          <w:tcPr>
            <w:tcW w:type="dxa" w:w="1728"/>
          </w:tcPr>
          <w:p>
            <w:r>
              <w:rPr>
                <w:rFonts w:ascii="Calibri" w:hAnsi="Calibri"/>
                <w:sz w:val="22"/>
              </w:rPr>
              <w:t>3.0% – 4.0% (3.5% mid)</w:t>
            </w:r>
          </w:p>
        </w:tc>
        <w:tc>
          <w:tcPr>
            <w:tcW w:type="dxa" w:w="1728"/>
          </w:tcPr>
          <w:p>
            <w:r>
              <w:rPr>
                <w:rFonts w:ascii="Calibri" w:hAnsi="Calibri"/>
                <w:sz w:val="22"/>
              </w:rPr>
              <w:t>— (unchanged)</w:t>
            </w:r>
          </w:p>
        </w:tc>
        <w:tc>
          <w:tcPr>
            <w:tcW w:type="dxa" w:w="1728"/>
          </w:tcPr>
          <w:p>
            <w:r>
              <w:rPr>
                <w:rFonts w:ascii="Calibri" w:hAnsi="Calibri"/>
                <w:sz w:val="22"/>
              </w:rPr>
              <w:t>N/A — not tracked separately in VA</w:t>
            </w:r>
          </w:p>
        </w:tc>
        <w:tc>
          <w:tcPr>
            <w:tcW w:type="dxa" w:w="1728"/>
          </w:tcPr>
          <w:p>
            <w:r>
              <w:rPr>
                <w:rFonts w:ascii="Calibri" w:hAnsi="Calibri"/>
                <w:sz w:val="22"/>
              </w:rPr>
              <w:t>Q1 expenses grew 5.7% YoY due to tough comp (mild weather/low turnover in Q1 2025). Management expects normalization through year.</w:t>
            </w:r>
          </w:p>
        </w:tc>
      </w:tr>
      <w:tr>
        <w:tc>
          <w:tcPr>
            <w:tcW w:type="dxa" w:w="1728"/>
          </w:tcPr>
          <w:p>
            <w:r>
              <w:rPr>
                <w:rFonts w:ascii="Calibri" w:hAnsi="Calibri"/>
                <w:sz w:val="22"/>
              </w:rPr>
              <w:t>Blended Rent Growth (FY 2026)</w:t>
            </w:r>
          </w:p>
        </w:tc>
        <w:tc>
          <w:tcPr>
            <w:tcW w:type="dxa" w:w="1728"/>
          </w:tcPr>
          <w:p>
            <w:r>
              <w:rPr>
                <w:rFonts w:ascii="Calibri" w:hAnsi="Calibri"/>
                <w:sz w:val="22"/>
              </w:rPr>
              <w:t>No explicit FY guidance; implied ~2.0%–2.5%</w:t>
            </w:r>
          </w:p>
        </w:tc>
        <w:tc>
          <w:tcPr>
            <w:tcW w:type="dxa" w:w="1728"/>
          </w:tcPr>
          <w:p>
            <w:r>
              <w:rPr>
                <w:rFonts w:ascii="Calibri" w:hAnsi="Calibri"/>
                <w:sz w:val="22"/>
              </w:rPr>
              <w:t>—</w:t>
            </w:r>
          </w:p>
        </w:tc>
        <w:tc>
          <w:tcPr>
            <w:tcW w:type="dxa" w:w="1728"/>
          </w:tcPr>
          <w:p>
            <w:r>
              <w:rPr>
                <w:rFonts w:ascii="Calibri" w:hAnsi="Calibri"/>
                <w:sz w:val="22"/>
              </w:rPr>
              <w:t>2.26% (FY consensus)</w:t>
            </w:r>
          </w:p>
        </w:tc>
        <w:tc>
          <w:tcPr>
            <w:tcW w:type="dxa" w:w="1728"/>
          </w:tcPr>
          <w:p>
            <w:r>
              <w:rPr>
                <w:rFonts w:ascii="Calibri" w:hAnsi="Calibri"/>
                <w:sz w:val="22"/>
              </w:rPr>
              <w:t>Nareit (Jun 2): May QTD blended rate at 2.5% (Apr 2.3%, May 2.8%), ahead of Q1’s 1.6%. New lease growth positive in both months.</w:t>
            </w:r>
          </w:p>
        </w:tc>
      </w:tr>
      <w:tr>
        <w:tc>
          <w:tcPr>
            <w:tcW w:type="dxa" w:w="1728"/>
          </w:tcPr>
          <w:p>
            <w:r>
              <w:rPr>
                <w:rFonts w:ascii="Calibri" w:hAnsi="Calibri"/>
                <w:sz w:val="22"/>
              </w:rPr>
              <w:t>Disposition Volume (FY 2026)</w:t>
            </w:r>
          </w:p>
        </w:tc>
        <w:tc>
          <w:tcPr>
            <w:tcW w:type="dxa" w:w="1728"/>
          </w:tcPr>
          <w:p>
            <w:r>
              <w:rPr>
                <w:rFonts w:ascii="Calibri" w:hAnsi="Calibri"/>
                <w:sz w:val="22"/>
              </w:rPr>
              <w:t>No explicit FY target disclosed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Q1 sold 483 homes for $206M, “well ahead of expectations.” Q2 dispositions expected to “look a lot like Q1” per Nareit (Jun 2).</w:t>
            </w:r>
          </w:p>
        </w:tc>
      </w:tr>
      <w:tr>
        <w:tc>
          <w:tcPr>
            <w:tcW w:type="dxa" w:w="1728"/>
          </w:tcPr>
          <w:p>
            <w:r>
              <w:rPr>
                <w:rFonts w:ascii="Calibri" w:hAnsi="Calibri"/>
                <w:sz w:val="22"/>
              </w:rPr>
              <w:t>Share Repurchase (FY 2026)</w:t>
            </w:r>
          </w:p>
        </w:tc>
        <w:tc>
          <w:tcPr>
            <w:tcW w:type="dxa" w:w="1728"/>
          </w:tcPr>
          <w:p>
            <w:r>
              <w:rPr>
                <w:rFonts w:ascii="Calibri" w:hAnsi="Calibri"/>
                <w:sz w:val="22"/>
              </w:rPr>
              <w:t>$500M authorization (Oct 2025); completed in Q1 2026</w:t>
            </w:r>
          </w:p>
        </w:tc>
        <w:tc>
          <w:tcPr>
            <w:tcW w:type="dxa" w:w="1728"/>
          </w:tcPr>
          <w:p>
            <w:r>
              <w:rPr>
                <w:rFonts w:ascii="Calibri" w:hAnsi="Calibri"/>
                <w:sz w:val="22"/>
              </w:rPr>
              <w:t>New $500M authorization approved (Apr 2026)</w:t>
            </w:r>
          </w:p>
        </w:tc>
        <w:tc>
          <w:tcPr>
            <w:tcW w:type="dxa" w:w="1728"/>
          </w:tcPr>
          <w:p>
            <w:r>
              <w:rPr>
                <w:rFonts w:ascii="Calibri" w:hAnsi="Calibri"/>
                <w:sz w:val="22"/>
              </w:rPr>
              <w:t>N/A</w:t>
            </w:r>
          </w:p>
        </w:tc>
        <w:tc>
          <w:tcPr>
            <w:tcW w:type="dxa" w:w="1728"/>
          </w:tcPr>
          <w:p>
            <w:r>
              <w:rPr>
                <w:rFonts w:ascii="Calibri" w:hAnsi="Calibri"/>
                <w:sz w:val="22"/>
              </w:rPr>
              <w:t>↑ New $500M buyback approved by Board at Q1 earnings. ~17M shares repurchased in Q1 for ~$439M at avg. $25.86/share.</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w:t>
      </w:r>
      <w:r>
        <w:rPr>
          <w:rFonts w:ascii="Calibri" w:hAnsi="Calibri"/>
          <w:b/>
          <w:color w:val="525866"/>
          <w:sz w:val="22"/>
        </w:rPr>
        <w:t>drifted modestly higher</w:t>
      </w:r>
      <w:r>
        <w:rPr>
          <w:rFonts w:ascii="Calibri" w:hAnsi="Calibri"/>
          <w:color w:val="525866"/>
          <w:sz w:val="22"/>
        </w:rPr>
        <w:t xml:space="preserve"> since the Q1 2026 print — Q2 Core FFO consensus is up ~$0.006 and FY 2026 Core FFO is up ~$0.010 from the post-Q1 baseline, tracking in line with guidance rather than diverging. The </w:t>
      </w:r>
      <w:r>
        <w:rPr>
          <w:rFonts w:ascii="Calibri" w:hAnsi="Calibri"/>
          <w:b/>
          <w:color w:val="525866"/>
          <w:sz w:val="22"/>
        </w:rPr>
        <w:t>same-store NOI growth estimate has moved up more meaningfully (+13 bps for Q2, +46 bps for FY)</w:t>
      </w:r>
      <w:r>
        <w:rPr>
          <w:rFonts w:ascii="Calibri" w:hAnsi="Calibri"/>
          <w:color w:val="525866"/>
          <w:sz w:val="22"/>
        </w:rPr>
        <w:t>, reflecting the positive intra-quarter signals from management at Nareit REITweek. The gap between consensus and guidance midpoints is narrow, suggesting limited risk of a negative revision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 Apr 29)</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Core FFO/Share (Q2 2026)</w:t>
            </w:r>
          </w:p>
        </w:tc>
        <w:tc>
          <w:tcPr>
            <w:tcW w:type="dxa" w:w="1080"/>
          </w:tcPr>
          <w:p>
            <w:r>
              <w:rPr>
                <w:rFonts w:ascii="Calibri" w:hAnsi="Calibri"/>
                <w:sz w:val="22"/>
              </w:rPr>
              <w:t>$0.4829</w:t>
            </w:r>
          </w:p>
        </w:tc>
        <w:tc>
          <w:tcPr>
            <w:tcW w:type="dxa" w:w="1080"/>
          </w:tcPr>
          <w:p>
            <w:r>
              <w:rPr>
                <w:rFonts w:ascii="Calibri" w:hAnsi="Calibri"/>
                <w:sz w:val="22"/>
              </w:rPr>
              <w:t>$0.4890</w:t>
            </w:r>
          </w:p>
        </w:tc>
        <w:tc>
          <w:tcPr>
            <w:tcW w:type="dxa" w:w="1080"/>
          </w:tcPr>
          <w:p>
            <w:r>
              <w:rPr>
                <w:rFonts w:ascii="Calibri" w:hAnsi="Calibri"/>
                <w:sz w:val="22"/>
              </w:rPr>
              <w:t>+1.3%</w:t>
            </w:r>
          </w:p>
        </w:tc>
        <w:tc>
          <w:tcPr>
            <w:tcW w:type="dxa" w:w="1080"/>
          </w:tcPr>
          <w:p>
            <w:r>
              <w:rPr>
                <w:rFonts w:ascii="Calibri" w:hAnsi="Calibri"/>
                <w:sz w:val="22"/>
              </w:rPr>
              <w:t>FY range: $1.90–$1.98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FY mid</w:t>
            </w:r>
          </w:p>
        </w:tc>
      </w:tr>
      <w:tr>
        <w:tc>
          <w:tcPr>
            <w:tcW w:type="dxa" w:w="1080"/>
          </w:tcPr>
          <w:p>
            <w:r>
              <w:rPr>
                <w:rFonts w:ascii="Calibri" w:hAnsi="Calibri"/>
                <w:sz w:val="22"/>
              </w:rPr>
              <w:t>Core FFO/Share (FY 2026)</w:t>
            </w:r>
          </w:p>
        </w:tc>
        <w:tc>
          <w:tcPr>
            <w:tcW w:type="dxa" w:w="1080"/>
          </w:tcPr>
          <w:p>
            <w:r>
              <w:rPr>
                <w:rFonts w:ascii="Calibri" w:hAnsi="Calibri"/>
                <w:sz w:val="22"/>
              </w:rPr>
              <w:t>$1.9362</w:t>
            </w:r>
          </w:p>
        </w:tc>
        <w:tc>
          <w:tcPr>
            <w:tcW w:type="dxa" w:w="1080"/>
          </w:tcPr>
          <w:p>
            <w:r>
              <w:rPr>
                <w:rFonts w:ascii="Calibri" w:hAnsi="Calibri"/>
                <w:sz w:val="22"/>
              </w:rPr>
              <w:t>$1.9460</w:t>
            </w:r>
          </w:p>
        </w:tc>
        <w:tc>
          <w:tcPr>
            <w:tcW w:type="dxa" w:w="1080"/>
          </w:tcPr>
          <w:p>
            <w:r>
              <w:rPr>
                <w:rFonts w:ascii="Calibri" w:hAnsi="Calibri"/>
                <w:sz w:val="22"/>
              </w:rPr>
              <w:t>+0.5%</w:t>
            </w:r>
          </w:p>
        </w:tc>
        <w:tc>
          <w:tcPr>
            <w:tcW w:type="dxa" w:w="1080"/>
          </w:tcPr>
          <w:p>
            <w:r>
              <w:rPr>
                <w:rFonts w:ascii="Calibri" w:hAnsi="Calibri"/>
                <w:sz w:val="22"/>
              </w:rPr>
              <w:t>$1.90–$1.98 ($1.94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w:t>
            </w:r>
          </w:p>
        </w:tc>
      </w:tr>
      <w:tr>
        <w:tc>
          <w:tcPr>
            <w:tcW w:type="dxa" w:w="1080"/>
          </w:tcPr>
          <w:p>
            <w:r>
              <w:rPr>
                <w:rFonts w:ascii="Calibri" w:hAnsi="Calibri"/>
                <w:sz w:val="22"/>
              </w:rPr>
              <w:t>AFFO/Share (Q2 2026)</w:t>
            </w:r>
          </w:p>
        </w:tc>
        <w:tc>
          <w:tcPr>
            <w:tcW w:type="dxa" w:w="1080"/>
          </w:tcPr>
          <w:p>
            <w:r>
              <w:rPr>
                <w:rFonts w:ascii="Calibri" w:hAnsi="Calibri"/>
                <w:sz w:val="22"/>
              </w:rPr>
              <w:t>$0.4071</w:t>
            </w:r>
          </w:p>
        </w:tc>
        <w:tc>
          <w:tcPr>
            <w:tcW w:type="dxa" w:w="1080"/>
          </w:tcPr>
          <w:p>
            <w:r>
              <w:rPr>
                <w:rFonts w:ascii="Calibri" w:hAnsi="Calibri"/>
                <w:sz w:val="22"/>
              </w:rPr>
              <w:t>$0.4139</w:t>
            </w:r>
          </w:p>
        </w:tc>
        <w:tc>
          <w:tcPr>
            <w:tcW w:type="dxa" w:w="1080"/>
          </w:tcPr>
          <w:p>
            <w:r>
              <w:rPr>
                <w:rFonts w:ascii="Calibri" w:hAnsi="Calibri"/>
                <w:sz w:val="22"/>
              </w:rPr>
              <w:t>+1.7%</w:t>
            </w:r>
          </w:p>
        </w:tc>
        <w:tc>
          <w:tcPr>
            <w:tcW w:type="dxa" w:w="1080"/>
          </w:tcPr>
          <w:p>
            <w:r>
              <w:rPr>
                <w:rFonts w:ascii="Calibri" w:hAnsi="Calibri"/>
                <w:sz w:val="22"/>
              </w:rPr>
              <w:t>FY range: $1.60–$1.68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FY mid</w:t>
            </w:r>
          </w:p>
        </w:tc>
      </w:tr>
      <w:tr>
        <w:tc>
          <w:tcPr>
            <w:tcW w:type="dxa" w:w="1080"/>
          </w:tcPr>
          <w:p>
            <w:r>
              <w:rPr>
                <w:rFonts w:ascii="Calibri" w:hAnsi="Calibri"/>
                <w:sz w:val="22"/>
              </w:rPr>
              <w:t>AFFO/Share (FY 2026)</w:t>
            </w:r>
          </w:p>
        </w:tc>
        <w:tc>
          <w:tcPr>
            <w:tcW w:type="dxa" w:w="1080"/>
          </w:tcPr>
          <w:p>
            <w:r>
              <w:rPr>
                <w:rFonts w:ascii="Calibri" w:hAnsi="Calibri"/>
                <w:sz w:val="22"/>
              </w:rPr>
              <w:t>$1.6307</w:t>
            </w:r>
          </w:p>
        </w:tc>
        <w:tc>
          <w:tcPr>
            <w:tcW w:type="dxa" w:w="1080"/>
          </w:tcPr>
          <w:p>
            <w:r>
              <w:rPr>
                <w:rFonts w:ascii="Calibri" w:hAnsi="Calibri"/>
                <w:sz w:val="22"/>
              </w:rPr>
              <w:t>$1.6451</w:t>
            </w:r>
          </w:p>
        </w:tc>
        <w:tc>
          <w:tcPr>
            <w:tcW w:type="dxa" w:w="1080"/>
          </w:tcPr>
          <w:p>
            <w:r>
              <w:rPr>
                <w:rFonts w:ascii="Calibri" w:hAnsi="Calibri"/>
                <w:sz w:val="22"/>
              </w:rPr>
              <w:t>+0.9%</w:t>
            </w:r>
          </w:p>
        </w:tc>
        <w:tc>
          <w:tcPr>
            <w:tcW w:type="dxa" w:w="1080"/>
          </w:tcPr>
          <w:p>
            <w:r>
              <w:rPr>
                <w:rFonts w:ascii="Calibri" w:hAnsi="Calibri"/>
                <w:sz w:val="22"/>
              </w:rPr>
              <w:t>$1.60–$1.68 ($1.64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w:t>
            </w:r>
          </w:p>
        </w:tc>
      </w:tr>
      <w:tr>
        <w:tc>
          <w:tcPr>
            <w:tcW w:type="dxa" w:w="1080"/>
          </w:tcPr>
          <w:p>
            <w:r>
              <w:rPr>
                <w:rFonts w:ascii="Calibri" w:hAnsi="Calibri"/>
                <w:sz w:val="22"/>
              </w:rPr>
              <w:t>SS NOI Growth (Q2 2026)</w:t>
            </w:r>
          </w:p>
        </w:tc>
        <w:tc>
          <w:tcPr>
            <w:tcW w:type="dxa" w:w="1080"/>
          </w:tcPr>
          <w:p>
            <w:r>
              <w:rPr>
                <w:rFonts w:ascii="Calibri" w:hAnsi="Calibri"/>
                <w:sz w:val="22"/>
              </w:rPr>
              <w:t>1.005%</w:t>
            </w:r>
          </w:p>
        </w:tc>
        <w:tc>
          <w:tcPr>
            <w:tcW w:type="dxa" w:w="1080"/>
          </w:tcPr>
          <w:p>
            <w:r>
              <w:rPr>
                <w:rFonts w:ascii="Calibri" w:hAnsi="Calibri"/>
                <w:sz w:val="22"/>
              </w:rPr>
              <w:t>1.018%</w:t>
            </w:r>
          </w:p>
        </w:tc>
        <w:tc>
          <w:tcPr>
            <w:tcW w:type="dxa" w:w="1080"/>
          </w:tcPr>
          <w:p>
            <w:r>
              <w:rPr>
                <w:rFonts w:ascii="Calibri" w:hAnsi="Calibri"/>
                <w:sz w:val="22"/>
              </w:rPr>
              <w:t>+13 bps</w:t>
            </w:r>
          </w:p>
        </w:tc>
        <w:tc>
          <w:tcPr>
            <w:tcW w:type="dxa" w:w="1080"/>
          </w:tcPr>
          <w:p>
            <w:r>
              <w:rPr>
                <w:rFonts w:ascii="Calibri" w:hAnsi="Calibri"/>
                <w:sz w:val="22"/>
              </w:rPr>
              <w:t>FY range: 0.3%–2.0%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bps vs. FY mid</w:t>
            </w:r>
          </w:p>
        </w:tc>
      </w:tr>
      <w:tr>
        <w:tc>
          <w:tcPr>
            <w:tcW w:type="dxa" w:w="1080"/>
          </w:tcPr>
          <w:p>
            <w:r>
              <w:rPr>
                <w:rFonts w:ascii="Calibri" w:hAnsi="Calibri"/>
                <w:sz w:val="22"/>
              </w:rPr>
              <w:t>SS NOI Growth (FY 2026)</w:t>
            </w:r>
          </w:p>
        </w:tc>
        <w:tc>
          <w:tcPr>
            <w:tcW w:type="dxa" w:w="1080"/>
          </w:tcPr>
          <w:p>
            <w:r>
              <w:rPr>
                <w:rFonts w:ascii="Calibri" w:hAnsi="Calibri"/>
                <w:sz w:val="22"/>
              </w:rPr>
              <w:t>0.633%</w:t>
            </w:r>
          </w:p>
        </w:tc>
        <w:tc>
          <w:tcPr>
            <w:tcW w:type="dxa" w:w="1080"/>
          </w:tcPr>
          <w:p>
            <w:r>
              <w:rPr>
                <w:rFonts w:ascii="Calibri" w:hAnsi="Calibri"/>
                <w:sz w:val="22"/>
              </w:rPr>
              <w:t>1.096%</w:t>
            </w:r>
          </w:p>
        </w:tc>
        <w:tc>
          <w:tcPr>
            <w:tcW w:type="dxa" w:w="1080"/>
          </w:tcPr>
          <w:p>
            <w:r>
              <w:rPr>
                <w:rFonts w:ascii="Calibri" w:hAnsi="Calibri"/>
                <w:sz w:val="22"/>
              </w:rPr>
              <w:t>+46 bps</w:t>
            </w:r>
          </w:p>
        </w:tc>
        <w:tc>
          <w:tcPr>
            <w:tcW w:type="dxa" w:w="1080"/>
          </w:tcPr>
          <w:p>
            <w:r>
              <w:rPr>
                <w:rFonts w:ascii="Calibri" w:hAnsi="Calibri"/>
                <w:sz w:val="22"/>
              </w:rPr>
              <w:t>0.3%–2.0% (1.15%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 bps vs. mid</w:t>
            </w:r>
          </w:p>
        </w:tc>
      </w:tr>
      <w:tr>
        <w:tc>
          <w:tcPr>
            <w:tcW w:type="dxa" w:w="1080"/>
          </w:tcPr>
          <w:p>
            <w:r>
              <w:rPr>
                <w:rFonts w:ascii="Calibri" w:hAnsi="Calibri"/>
                <w:sz w:val="22"/>
              </w:rPr>
              <w:t>SS Revenue Growth (Q2 2026)</w:t>
            </w:r>
          </w:p>
        </w:tc>
        <w:tc>
          <w:tcPr>
            <w:tcW w:type="dxa" w:w="1080"/>
          </w:tcPr>
          <w:p>
            <w:r>
              <w:rPr>
                <w:rFonts w:ascii="Calibri" w:hAnsi="Calibri"/>
                <w:sz w:val="22"/>
              </w:rPr>
              <w:t>1.656%</w:t>
            </w:r>
          </w:p>
        </w:tc>
        <w:tc>
          <w:tcPr>
            <w:tcW w:type="dxa" w:w="1080"/>
          </w:tcPr>
          <w:p>
            <w:r>
              <w:rPr>
                <w:rFonts w:ascii="Calibri" w:hAnsi="Calibri"/>
                <w:sz w:val="22"/>
              </w:rPr>
              <w:t>1.686%</w:t>
            </w:r>
          </w:p>
        </w:tc>
        <w:tc>
          <w:tcPr>
            <w:tcW w:type="dxa" w:w="1080"/>
          </w:tcPr>
          <w:p>
            <w:r>
              <w:rPr>
                <w:rFonts w:ascii="Calibri" w:hAnsi="Calibri"/>
                <w:sz w:val="22"/>
              </w:rPr>
              <w:t>+30 bps</w:t>
            </w:r>
          </w:p>
        </w:tc>
        <w:tc>
          <w:tcPr>
            <w:tcW w:type="dxa" w:w="1080"/>
          </w:tcPr>
          <w:p>
            <w:r>
              <w:rPr>
                <w:rFonts w:ascii="Calibri" w:hAnsi="Calibri"/>
                <w:sz w:val="22"/>
              </w:rPr>
              <w:t>No explicit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SS Revenue Growth (FY 2026)</w:t>
            </w:r>
          </w:p>
        </w:tc>
        <w:tc>
          <w:tcPr>
            <w:tcW w:type="dxa" w:w="1080"/>
          </w:tcPr>
          <w:p>
            <w:r>
              <w:rPr>
                <w:rFonts w:ascii="Calibri" w:hAnsi="Calibri"/>
                <w:sz w:val="22"/>
              </w:rPr>
              <w:t>1.603%</w:t>
            </w:r>
          </w:p>
        </w:tc>
        <w:tc>
          <w:tcPr>
            <w:tcW w:type="dxa" w:w="1080"/>
          </w:tcPr>
          <w:p>
            <w:r>
              <w:rPr>
                <w:rFonts w:ascii="Calibri" w:hAnsi="Calibri"/>
                <w:sz w:val="22"/>
              </w:rPr>
              <w:t>1.848%</w:t>
            </w:r>
          </w:p>
        </w:tc>
        <w:tc>
          <w:tcPr>
            <w:tcW w:type="dxa" w:w="1080"/>
          </w:tcPr>
          <w:p>
            <w:r>
              <w:rPr>
                <w:rFonts w:ascii="Calibri" w:hAnsi="Calibri"/>
                <w:sz w:val="22"/>
              </w:rPr>
              <w:t>+25 bps</w:t>
            </w:r>
          </w:p>
        </w:tc>
        <w:tc>
          <w:tcPr>
            <w:tcW w:type="dxa" w:w="1080"/>
          </w:tcPr>
          <w:p>
            <w:r>
              <w:rPr>
                <w:rFonts w:ascii="Calibri" w:hAnsi="Calibri"/>
                <w:sz w:val="22"/>
              </w:rPr>
              <w:t>No explicit FY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Estimate baseline is consensus as of May 5, 2026 (5 trading days post Q1 2026 earnings on April 29, 2026). Current consensus as of July 28, 2026. The most notable revision is the FY 2026 same-store NOI growth estimate, which has moved up 46 bps since the Q1 print — driven by management’s constructive Nareit commentary and improving leasing trends through May. Consensus is now essentially at the midpoint of guidance, leaving little cushion if Q2 results disappoint.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INVH has </w:t>
      </w:r>
      <w:r>
        <w:rPr>
          <w:rFonts w:ascii="Calibri" w:hAnsi="Calibri"/>
          <w:b/>
          <w:color w:val="525866"/>
          <w:sz w:val="22"/>
        </w:rPr>
        <w:t>underperformed the residential REIT sector (REZ) since Q1 earnings</w:t>
      </w:r>
      <w:r>
        <w:rPr>
          <w:rFonts w:ascii="Calibri" w:hAnsi="Calibri"/>
          <w:color w:val="525866"/>
          <w:sz w:val="22"/>
        </w:rPr>
        <w:t xml:space="preserve"> (+7.1% vs. +11.3% for REZ), suggesting the stock’s move has been driven primarily by </w:t>
      </w:r>
      <w:r>
        <w:rPr>
          <w:rFonts w:ascii="Calibri" w:hAnsi="Calibri"/>
          <w:b/>
          <w:color w:val="525866"/>
          <w:sz w:val="22"/>
        </w:rPr>
        <w:t>sector-level multiple expansion</w:t>
      </w:r>
      <w:r>
        <w:rPr>
          <w:rFonts w:ascii="Calibri" w:hAnsi="Calibri"/>
          <w:color w:val="525866"/>
          <w:sz w:val="22"/>
        </w:rPr>
        <w:t xml:space="preserve"> rather than INVH-specific re-rating. The stock has outperformed the S&amp;P 500 (+4.1%), but the gap vs. REZ implies the market has not yet fully credited INVH’s improving leasing fundamentals relative to peers.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INVH vs. REZ (iShares Residential &amp; Multisector Real Estate ETF) vs. S&amp;P 500 (SPY), indexed to 100 at Q1 2026 earnings date (April 29, 2026). Sector ETF: REZ was selected as the most appropriate benchmark for INVH’s single-family rental sub-sector within the residential REIT space.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INVH</w:t>
            </w:r>
          </w:p>
        </w:tc>
        <w:tc>
          <w:tcPr>
            <w:tcW w:type="dxa" w:w="2160"/>
            <w:shd w:val="clear" w:color="auto" w:fill="3B4259"/>
          </w:tcPr>
          <w:p>
            <w:r>
              <w:rPr>
                <w:rFonts w:ascii="Calibri" w:hAnsi="Calibri"/>
                <w:b/>
                <w:color w:val="FFFFFF"/>
                <w:sz w:val="22"/>
              </w:rPr>
              <w:t>REZ (Sector ETF)</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Q1 Earnings (Apr 29, 2026)</w:t>
            </w:r>
          </w:p>
        </w:tc>
        <w:tc>
          <w:tcPr>
            <w:tcW w:type="dxa" w:w="2160"/>
          </w:tcPr>
          <w:p>
            <w:r>
              <w:rPr>
                <w:rFonts w:ascii="Calibri" w:hAnsi="Calibri"/>
                <w:sz w:val="22"/>
              </w:rPr>
              <w:t>$28.07</w:t>
            </w:r>
          </w:p>
        </w:tc>
        <w:tc>
          <w:tcPr>
            <w:tcW w:type="dxa" w:w="2160"/>
          </w:tcPr>
          <w:p>
            <w:r>
              <w:rPr>
                <w:rFonts w:ascii="Calibri" w:hAnsi="Calibri"/>
                <w:sz w:val="22"/>
              </w:rPr>
              <w:t>$89.02</w:t>
            </w:r>
          </w:p>
        </w:tc>
        <w:tc>
          <w:tcPr>
            <w:tcW w:type="dxa" w:w="2160"/>
          </w:tcPr>
          <w:p>
            <w:r>
              <w:rPr>
                <w:rFonts w:ascii="Calibri" w:hAnsi="Calibri"/>
                <w:sz w:val="22"/>
              </w:rPr>
              <w:t>$711.58</w:t>
            </w:r>
          </w:p>
        </w:tc>
      </w:tr>
      <w:tr>
        <w:tc>
          <w:tcPr>
            <w:tcW w:type="dxa" w:w="2160"/>
          </w:tcPr>
          <w:p>
            <w:r>
              <w:rPr>
                <w:rFonts w:ascii="Calibri" w:hAnsi="Calibri"/>
                <w:sz w:val="22"/>
              </w:rPr>
              <w:t>Price as of Jul 29, 2026</w:t>
            </w:r>
          </w:p>
        </w:tc>
        <w:tc>
          <w:tcPr>
            <w:tcW w:type="dxa" w:w="2160"/>
          </w:tcPr>
          <w:p>
            <w:r>
              <w:rPr>
                <w:rFonts w:ascii="Calibri" w:hAnsi="Calibri"/>
                <w:sz w:val="22"/>
              </w:rPr>
              <w:t>$30.05</w:t>
            </w:r>
          </w:p>
        </w:tc>
        <w:tc>
          <w:tcPr>
            <w:tcW w:type="dxa" w:w="2160"/>
          </w:tcPr>
          <w:p>
            <w:r>
              <w:rPr>
                <w:rFonts w:ascii="Calibri" w:hAnsi="Calibri"/>
                <w:sz w:val="22"/>
              </w:rPr>
              <w:t>$99.05</w:t>
            </w:r>
          </w:p>
        </w:tc>
        <w:tc>
          <w:tcPr>
            <w:tcW w:type="dxa" w:w="2160"/>
          </w:tcPr>
          <w:p>
            <w:r>
              <w:rPr>
                <w:rFonts w:ascii="Calibri" w:hAnsi="Calibri"/>
                <w:sz w:val="22"/>
              </w:rPr>
              <w:t>$740.86</w:t>
            </w:r>
          </w:p>
        </w:tc>
      </w:tr>
      <w:tr>
        <w:tc>
          <w:tcPr>
            <w:tcW w:type="dxa" w:w="2160"/>
          </w:tcPr>
          <w:p>
            <w:r>
              <w:rPr>
                <w:rFonts w:ascii="Calibri" w:hAnsi="Calibri"/>
                <w:sz w:val="22"/>
              </w:rPr>
              <w:t>Return Since Q1 Earnings</w:t>
            </w:r>
          </w:p>
        </w:tc>
        <w:tc>
          <w:tcPr>
            <w:tcW w:type="dxa" w:w="2160"/>
          </w:tcPr>
          <w:p>
            <w:r>
              <w:rPr>
                <w:rFonts w:ascii="Calibri" w:hAnsi="Calibri"/>
                <w:sz w:val="22"/>
              </w:rPr>
              <w:t>+7.1%</w:t>
            </w:r>
          </w:p>
        </w:tc>
        <w:tc>
          <w:tcPr>
            <w:tcW w:type="dxa" w:w="2160"/>
          </w:tcPr>
          <w:p>
            <w:r>
              <w:rPr>
                <w:rFonts w:ascii="Calibri" w:hAnsi="Calibri"/>
                <w:sz w:val="22"/>
              </w:rPr>
              <w:t>+11.3%</w:t>
            </w:r>
          </w:p>
        </w:tc>
        <w:tc>
          <w:tcPr>
            <w:tcW w:type="dxa" w:w="2160"/>
          </w:tcPr>
          <w:p>
            <w:r>
              <w:rPr>
                <w:rFonts w:ascii="Calibri" w:hAnsi="Calibri"/>
                <w:sz w:val="22"/>
              </w:rPr>
              <w:t>+4.1%</w:t>
            </w:r>
          </w:p>
        </w:tc>
      </w:tr>
      <w:tr>
        <w:tc>
          <w:tcPr>
            <w:tcW w:type="dxa" w:w="2160"/>
          </w:tcPr>
          <w:p>
            <w:r>
              <w:rPr>
                <w:rFonts w:ascii="Calibri" w:hAnsi="Calibri"/>
                <w:sz w:val="22"/>
              </w:rPr>
              <w:t>Relative to REZ</w:t>
            </w:r>
          </w:p>
        </w:tc>
        <w:tc>
          <w:tcPr>
            <w:tcW w:type="dxa" w:w="2160"/>
          </w:tcPr>
          <w:p>
            <w:r>
              <w:rPr>
                <w:rFonts w:ascii="Calibri" w:hAnsi="Calibri"/>
                <w:sz w:val="22"/>
              </w:rPr>
              <w:t>-4.2 ppts</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Relative to SPY</w:t>
            </w:r>
          </w:p>
        </w:tc>
        <w:tc>
          <w:tcPr>
            <w:tcW w:type="dxa" w:w="2160"/>
          </w:tcPr>
          <w:p>
            <w:r>
              <w:rPr>
                <w:rFonts w:ascii="Calibri" w:hAnsi="Calibri"/>
                <w:sz w:val="22"/>
              </w:rPr>
              <w:t>+3.0 ppts</w:t>
            </w:r>
          </w:p>
        </w:tc>
        <w:tc>
          <w:tcPr>
            <w:tcW w:type="dxa" w:w="2160"/>
          </w:tcPr>
          <w:p>
            <w:r>
              <w:rPr>
                <w:rFonts w:ascii="Calibri" w:hAnsi="Calibri"/>
                <w:sz w:val="22"/>
              </w:rPr>
              <w:t>—</w:t>
            </w:r>
          </w:p>
        </w:tc>
        <w:tc>
          <w:tcPr>
            <w:tcW w:type="dxa" w:w="2160"/>
          </w:tcPr>
          <w:p>
            <w:r>
              <w:rPr>
                <w:rFonts w:ascii="Calibri" w:hAnsi="Calibri"/>
                <w:sz w:val="22"/>
              </w:rPr>
              <w:t>—</w:t>
            </w:r>
          </w:p>
        </w:tc>
      </w:tr>
    </w:tbl>
    <w:p>
      <w:r>
        <w:rPr>
          <w:rFonts w:ascii="Calibri" w:hAnsi="Calibri"/>
          <w:i/>
          <w:color w:val="525866"/>
          <w:sz w:val="22"/>
        </w:rPr>
        <w:t>Key events since Q1 earnings: The stock initially traded flat on Q1 earnings day (April 29), consistent with in-line results. INVH rallied through late May and into June, reaching a high near $30.60 on June 26 before pulling back modestly. The Nareit REITweek conference (June 2) provided a positive catalyst with management disclosing accelerating occupancy and blended rent growth through May. The stock has since consolidated in the $29–$30 range heading into Q2 results. Source: Stock Price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acceleration in leasing fundamentals through May</w:t>
      </w:r>
      <w:r>
        <w:rPr>
          <w:rFonts w:ascii="Calibri" w:hAnsi="Calibri"/>
          <w:color w:val="525866"/>
          <w:sz w:val="22"/>
        </w:rPr>
        <w:t xml:space="preserve"> disclosed at Nareit REITweek — occupancy at 97.2% and blended rent growth at 2.5% QTD through May represent a meaningful step-up from Q1 and set a constructive tone for Q2 results. The new $500M buyback authorization is a secondary positive, signaling management’s continued conviction that the stock is undervalued.</w:t>
      </w:r>
    </w:p>
    <w:p>
      <w:pPr>
        <w:pStyle w:val="ListBullet"/>
        <w:ind w:left="360" w:hanging="360"/>
      </w:pPr>
      <w:r>
        <w:rPr>
          <w:rFonts w:ascii="Calibri" w:hAnsi="Calibri"/>
          <w:b/>
          <w:color w:val="525866"/>
          <w:sz w:val="22"/>
        </w:rPr>
        <w:t>June 2, 2026 — Nareit REITweek Investor Conference:</w:t>
      </w:r>
      <w:r>
        <w:rPr>
          <w:rFonts w:ascii="Calibri" w:hAnsi="Calibri"/>
          <w:color w:val="525866"/>
          <w:sz w:val="22"/>
        </w:rPr>
        <w:t xml:space="preserve"> Management disclosed that same-store occupancy reached 97.2% and blended rent growth accelerated to 2.5% QTD through May (April: 2.3%, May: 2.8%), up ~100 bps from Q1’s 1.6%. New lease rate growth was positive in both April and May. Q2 dispositions expected to “look a lot like Q1.” Management expressed “better fundamentals this year than last year going into the summer leasing cycle.” </w:t>
      </w:r>
    </w:p>
    <w:p>
      <w:pPr>
        <w:pStyle w:val="ListBullet"/>
        <w:ind w:left="360" w:hanging="360"/>
      </w:pPr>
      <w:r>
        <w:rPr>
          <w:rFonts w:ascii="Calibri" w:hAnsi="Calibri"/>
          <w:b/>
          <w:color w:val="525866"/>
          <w:sz w:val="22"/>
        </w:rPr>
        <w:t>April 29, 2026 — Q1 2026 Earnings / New $500M Buyback Authorization:</w:t>
      </w:r>
      <w:r>
        <w:rPr>
          <w:rFonts w:ascii="Calibri" w:hAnsi="Calibri"/>
          <w:color w:val="525866"/>
          <w:sz w:val="22"/>
        </w:rPr>
        <w:t xml:space="preserve"> Board approved a new $500M share repurchase authorization after completing the prior $500M authorization (including ~$439M in Q1 alone at avg. $25.86/share). Disposition pace significantly ahead of expectations (483 homes for $206M in Q1). Full-year 2026 guidance maintained. Management cited “cautious optimism” but declined to raise guidance, citing early stage of year. </w:t>
      </w:r>
    </w:p>
    <w:p>
      <w:pPr>
        <w:pStyle w:val="ListBullet"/>
        <w:ind w:left="360" w:hanging="360"/>
      </w:pPr>
      <w:r>
        <w:rPr>
          <w:rFonts w:ascii="Calibri" w:hAnsi="Calibri"/>
          <w:b/>
          <w:color w:val="525866"/>
          <w:sz w:val="22"/>
        </w:rPr>
        <w:t>April 29, 2026 — April Leasing Trends Disclosed at Q1 Earnings:</w:t>
      </w:r>
      <w:r>
        <w:rPr>
          <w:rFonts w:ascii="Calibri" w:hAnsi="Calibri"/>
          <w:color w:val="525866"/>
          <w:sz w:val="22"/>
        </w:rPr>
        <w:t xml:space="preserve"> Average occupancy accelerated to 97.1% in April (+80 bps from Q1 average). New lease rent growth turned positive at +0.5% in April, a 230 bps acceleration from March. Blended rent growth reached 2.3% in April. Management stated “May will look a lot like April.” </w:t>
      </w:r>
    </w:p>
    <w:p>
      <w:pPr>
        <w:pStyle w:val="ListBullet"/>
        <w:ind w:left="360" w:hanging="360"/>
      </w:pPr>
      <w:r>
        <w:rPr>
          <w:rFonts w:ascii="Calibri" w:hAnsi="Calibri"/>
          <w:b/>
          <w:color w:val="525866"/>
          <w:sz w:val="22"/>
        </w:rPr>
        <w:t>Ongoing — Road to Housing Act / Regulatory Landscape:</w:t>
      </w:r>
      <w:r>
        <w:rPr>
          <w:rFonts w:ascii="Calibri" w:hAnsi="Calibri"/>
          <w:color w:val="525866"/>
          <w:sz w:val="22"/>
        </w:rPr>
        <w:t xml:space="preserve"> Legislative discussions around the 21st Century ROAD Act continue. The House version removes build-to-rent from consideration (positive for INVH’s ResiBuilt platform) and removes the Senate’s 7-year disposition requirement. Management expressed comfort with the current legislative trajectory, noting “there are a lot of ways to still bring new housing supply to the market” even under the current bill. Some fee-build projects remain on hold pending legislative clarity. </w:t>
      </w:r>
    </w:p>
    <w:p>
      <w:pPr>
        <w:pStyle w:val="ListBullet"/>
        <w:ind w:left="360" w:hanging="360"/>
      </w:pPr>
      <w:r>
        <w:rPr>
          <w:rFonts w:ascii="Calibri" w:hAnsi="Calibri"/>
          <w:b/>
          <w:color w:val="525866"/>
          <w:sz w:val="22"/>
        </w:rPr>
        <w:t>January 2026 — ResiBuilt Acquisition Integration:</w:t>
      </w:r>
      <w:r>
        <w:rPr>
          <w:rFonts w:ascii="Calibri" w:hAnsi="Calibri"/>
          <w:color w:val="525866"/>
          <w:sz w:val="22"/>
        </w:rPr>
        <w:t xml:space="preserve"> ResiBuilt delivered over 300 homes to third-party buyers in Q1 2026. INVH is using ResiBuilt primarily as a fee builder while evaluating the right pace of building for its own portfolio. Construction lending book grew to $279M in commitments as of Q1 earnings, with funding expected to grow through 2026. </w:t>
      </w:r>
    </w:p>
    <w:p>
      <w:pPr>
        <w:pStyle w:val="ListBullet"/>
        <w:ind w:left="360" w:hanging="360"/>
      </w:pPr>
      <w:r>
        <w:rPr>
          <w:rFonts w:ascii="Calibri" w:hAnsi="Calibri"/>
          <w:b/>
          <w:color w:val="525866"/>
          <w:sz w:val="22"/>
        </w:rPr>
        <w:t>Ongoing — Disposition Program / Capital Recycling:</w:t>
      </w:r>
      <w:r>
        <w:rPr>
          <w:rFonts w:ascii="Calibri" w:hAnsi="Calibri"/>
          <w:color w:val="525866"/>
          <w:sz w:val="22"/>
        </w:rPr>
        <w:t xml:space="preserve"> Q1 dispositions of 483 homes for $206M achieved pro forma stabilized cap rates in the low 4s, well ahead of underwriting. Forward pipeline reduced to ~$200M (down ~2/3 from a year ago). Proceeds recycled into share buybacks at an implied price of $270K/home vs. $427K average sale price — a compelling arbitrage management has highlighted repeatedly. </w:t>
      </w:r>
    </w:p>
    <w:p>
      <w:pPr>
        <w:pStyle w:val="ListBullet"/>
        <w:ind w:left="360" w:hanging="360"/>
      </w:pPr>
      <w:r>
        <w:rPr>
          <w:rFonts w:ascii="Calibri" w:hAnsi="Calibri"/>
          <w:b/>
          <w:color w:val="525866"/>
          <w:sz w:val="22"/>
        </w:rPr>
        <w:t>Ongoing — Supply Dynamics Improving:</w:t>
      </w:r>
      <w:r>
        <w:rPr>
          <w:rFonts w:ascii="Calibri" w:hAnsi="Calibri"/>
          <w:color w:val="525866"/>
          <w:sz w:val="22"/>
        </w:rPr>
        <w:t xml:space="preserve"> Management noted at Nareit that the largest decline in for-lease inventory has been in “scattered site properties owned by mom-and-pops,” contributing to better pricing power. BTR peak delivery is “in the rearview mirror in all markets” per John Burns data. Homebuilder permitting declining year-over-year, suggesting future tailwinds for asset appreciation and rents. </w:t>
      </w:r>
    </w:p>
    <w:p>
      <w:r>
        <w:br w:type="page"/>
      </w:r>
    </w:p>
    <w:p>
      <w:pPr>
        <w:pStyle w:val="Heading1"/>
        <w:pBdr>
          <w:bottom w:val="single" w:sz="4" w:space="1" w:color="FB9120"/>
        </w:pBdr>
      </w:pPr>
      <w:r>
        <w:rPr>
          <w:rFonts w:ascii="Calibri" w:hAnsi="Calibri"/>
          <w:b/>
          <w:color w:val="3B4259"/>
          <w:sz w:val="40"/>
        </w:rPr>
        <w:t>7. Peer Commentaries — Read-Through for INVH Q2 2026</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 for INVH’s Q2 setup</w:t>
      </w:r>
      <w:r>
        <w:rPr>
          <w:rFonts w:ascii="Calibri" w:hAnsi="Calibri"/>
          <w:color w:val="525866"/>
          <w:sz w:val="22"/>
        </w:rPr>
        <w:t>. AMH (direct SFR peer) and multifamily peers (CPT, MAA, UDR) all point to the same themes: accelerating leasing momentum into peak season, improving supply dynamics, and strong resident retention. UDR’s Q2 2026 beat-and-raise (reported July 28) is the most timely read-through, confirming that residential REIT fundamentals are tracking ahead of expectations in Q2. The key divergence: coastal multifamily (UDR) is outperforming Sunbelt, while INVH’s Sunbelt-heavy SFR portfolio faces a higher supply bar — but the improving mom-and-pop inventory data and positive new lease inflection are INVH-specific positives.</w:t>
      </w:r>
    </w:p>
    <w:p>
      <w:pPr>
        <w:pStyle w:val="Heading2"/>
      </w:pPr>
      <w:r>
        <w:rPr>
          <w:rFonts w:ascii="Calibri" w:hAnsi="Calibri"/>
          <w:b/>
          <w:color w:val="3B4259"/>
          <w:sz w:val="28"/>
        </w:rPr>
        <w:t>AMH (American Homes 4 Rent) — Q1 2026 Earnings (May 7, 2026)</w:t>
      </w:r>
    </w:p>
    <w:p>
      <w:r>
        <w:rPr>
          <w:rFonts w:ascii="Calibri" w:hAnsi="Calibri"/>
          <w:b/>
          <w:color w:val="525866"/>
          <w:sz w:val="22"/>
        </w:rPr>
        <w:t xml:space="preserve">Relevance: </w:t>
      </w:r>
      <w:r>
        <w:rPr>
          <w:rFonts w:ascii="Calibri" w:hAnsi="Calibri"/>
          <w:color w:val="525866"/>
          <w:sz w:val="22"/>
        </w:rPr>
        <w:t>AMH is INVH’s closest direct peer in the single-family rental space. Q1 2026 results and April/May commentary provide the most direct read-through for INVH’s Q2 leasing environment.</w:t>
      </w:r>
    </w:p>
    <w:p>
      <w:pPr>
        <w:pStyle w:val="ListBullet"/>
        <w:ind w:left="360" w:hanging="360"/>
      </w:pPr>
      <w:r>
        <w:rPr>
          <w:rFonts w:ascii="Calibri" w:hAnsi="Calibri"/>
          <w:b/>
          <w:color w:val="525866"/>
          <w:sz w:val="22"/>
        </w:rPr>
        <w:t>Spring leasing season “fully underway with healthy demand and strong activity”</w:t>
      </w:r>
      <w:r>
        <w:rPr>
          <w:rFonts w:ascii="Calibri" w:hAnsi="Calibri"/>
          <w:color w:val="525866"/>
          <w:sz w:val="22"/>
        </w:rPr>
        <w:t xml:space="preserve"> after a slower start in January/February. Record leasing volumes in March with continued momentum through April. </w:t>
      </w:r>
    </w:p>
    <w:p>
      <w:pPr>
        <w:pStyle w:val="ListBullet"/>
        <w:ind w:left="360" w:hanging="360"/>
      </w:pPr>
      <w:r>
        <w:rPr>
          <w:rFonts w:ascii="Calibri" w:hAnsi="Calibri"/>
          <w:b/>
          <w:color w:val="525866"/>
          <w:sz w:val="22"/>
        </w:rPr>
        <w:t>New lease spreads improved to +1.2% in April</w:t>
      </w:r>
      <w:r>
        <w:rPr>
          <w:rFonts w:ascii="Calibri" w:hAnsi="Calibri"/>
          <w:color w:val="525866"/>
          <w:sz w:val="22"/>
        </w:rPr>
        <w:t xml:space="preserve"> (vs. modestly negative in Q1), a 200 bps acceleration vs. Q1 — directly comparable to INVH’s +0.5% in April. Both SFR operators saw new lease growth turn positive in April, confirming the seasonal inflection. </w:t>
      </w:r>
    </w:p>
    <w:p>
      <w:pPr>
        <w:pStyle w:val="ListBullet"/>
        <w:ind w:left="360" w:hanging="360"/>
      </w:pPr>
      <w:r>
        <w:rPr>
          <w:rFonts w:ascii="Calibri" w:hAnsi="Calibri"/>
          <w:b/>
          <w:color w:val="525866"/>
          <w:sz w:val="22"/>
        </w:rPr>
        <w:t>Same-home core NOI growth of 3.7% in Q1</w:t>
      </w:r>
      <w:r>
        <w:rPr>
          <w:rFonts w:ascii="Calibri" w:hAnsi="Calibri"/>
          <w:color w:val="525866"/>
          <w:sz w:val="22"/>
        </w:rPr>
        <w:t xml:space="preserve"> — significantly stronger than INVH’s -0.3%, reflecting AMH’s newer, purpose-built portfolio with lower expense volatility. AMH’s 2026 insurance rates decreased ~10% and property tax outlook unchanged at ~3% — favorable expense tailwinds that INVH may partially share. </w:t>
      </w:r>
    </w:p>
    <w:p>
      <w:pPr>
        <w:pStyle w:val="ListBullet"/>
        <w:ind w:left="360" w:hanging="360"/>
      </w:pPr>
      <w:r>
        <w:rPr>
          <w:rFonts w:ascii="Calibri" w:hAnsi="Calibri"/>
          <w:b/>
          <w:color w:val="525866"/>
          <w:sz w:val="22"/>
        </w:rPr>
        <w:t>Renewal rates at 3.2% in Q1, with Q2 expected to land similarly</w:t>
      </w:r>
      <w:r>
        <w:rPr>
          <w:rFonts w:ascii="Calibri" w:hAnsi="Calibri"/>
          <w:color w:val="525866"/>
          <w:sz w:val="22"/>
        </w:rPr>
        <w:t xml:space="preserve">; Q3 mailing rates in the mid-3s. Full-year guide contemplates 3.0% renewals — consistent with INVH’s 3.7% Q1 renewal rate and mid-3s to mid-4s full-year expectation. </w:t>
      </w:r>
    </w:p>
    <w:p>
      <w:pPr>
        <w:pStyle w:val="ListBullet"/>
        <w:ind w:left="360" w:hanging="360"/>
      </w:pPr>
      <w:r>
        <w:rPr>
          <w:rFonts w:ascii="Calibri" w:hAnsi="Calibri"/>
          <w:b/>
          <w:color w:val="525866"/>
          <w:sz w:val="22"/>
        </w:rPr>
        <w:t>Supply improving across most markets</w:t>
      </w:r>
      <w:r>
        <w:rPr>
          <w:rFonts w:ascii="Calibri" w:hAnsi="Calibri"/>
          <w:color w:val="525866"/>
          <w:sz w:val="22"/>
        </w:rPr>
        <w:t xml:space="preserve">, with Burns showing 40% YoY reduction in apartment deliveries for 2026. Heavy inventory still noted in Arizona and Texas (markets where INVH also has exposure). Regulatory uncertainty (ROAD Act) having a more immediate effect on BTR projects — a potential medium-term tailwind for INVH’s existing portfolio. </w:t>
      </w:r>
    </w:p>
    <w:p>
      <w:pPr>
        <w:pStyle w:val="ListBullet"/>
        <w:ind w:left="360" w:hanging="360"/>
      </w:pPr>
      <w:r>
        <w:rPr>
          <w:rFonts w:ascii="Calibri" w:hAnsi="Calibri"/>
          <w:b/>
          <w:color w:val="525866"/>
          <w:sz w:val="22"/>
        </w:rPr>
        <w:t>Move-out to buy rate “consistently just sub-30%”</w:t>
      </w:r>
      <w:r>
        <w:rPr>
          <w:rFonts w:ascii="Calibri" w:hAnsi="Calibri"/>
          <w:color w:val="525866"/>
          <w:sz w:val="22"/>
        </w:rPr>
        <w:t xml:space="preserve"> for several quarters — consistent with INVH’s 16-17% move-out-to-buy rate, both reflecting the affordability advantage of renting vs. owning at current mortgage rates. </w:t>
      </w:r>
    </w:p>
    <w:p>
      <w:pPr>
        <w:pStyle w:val="Heading2"/>
      </w:pPr>
      <w:r>
        <w:rPr>
          <w:rFonts w:ascii="Calibri" w:hAnsi="Calibri"/>
          <w:b/>
          <w:color w:val="3B4259"/>
          <w:sz w:val="28"/>
        </w:rPr>
        <w:t>AMH (American Homes 4 Rent) — Nareit REITweek Conference (June 3, 2026)</w:t>
      </w:r>
    </w:p>
    <w:p>
      <w:r>
        <w:rPr>
          <w:rFonts w:ascii="Calibri" w:hAnsi="Calibri"/>
          <w:b/>
          <w:color w:val="525866"/>
          <w:sz w:val="22"/>
        </w:rPr>
        <w:t xml:space="preserve">Relevance: </w:t>
      </w:r>
      <w:r>
        <w:rPr>
          <w:rFonts w:ascii="Calibri" w:hAnsi="Calibri"/>
          <w:color w:val="525866"/>
          <w:sz w:val="22"/>
        </w:rPr>
        <w:t>AMH’s Nareit commentary covers May trends and Q2 trajectory — the most current SFR read-through available before INVH’s Q2 print.</w:t>
      </w:r>
    </w:p>
    <w:p>
      <w:pPr>
        <w:pStyle w:val="ListBullet"/>
        <w:ind w:left="360" w:hanging="360"/>
      </w:pPr>
      <w:r>
        <w:rPr>
          <w:rFonts w:ascii="Calibri" w:hAnsi="Calibri"/>
          <w:b/>
          <w:color w:val="525866"/>
          <w:sz w:val="22"/>
        </w:rPr>
        <w:t>Spring leasing season “shaping up nicely”</w:t>
      </w:r>
      <w:r>
        <w:rPr>
          <w:rFonts w:ascii="Calibri" w:hAnsi="Calibri"/>
          <w:color w:val="525866"/>
          <w:sz w:val="22"/>
        </w:rPr>
        <w:t xml:space="preserve"> with “consistent occupancy and rate gains against the backdrop of excellent expense management.” Occupancy built from 95.6% in April to 96.2% in May (+60 bps), with further pickup expected in June. </w:t>
      </w:r>
    </w:p>
    <w:p>
      <w:pPr>
        <w:pStyle w:val="ListBullet"/>
        <w:ind w:left="360" w:hanging="360"/>
      </w:pPr>
      <w:r>
        <w:rPr>
          <w:rFonts w:ascii="Calibri" w:hAnsi="Calibri"/>
          <w:b/>
          <w:color w:val="525866"/>
          <w:sz w:val="22"/>
        </w:rPr>
        <w:t>New lease growth accelerated from +1.2% in April to +1.5% in May</w:t>
      </w:r>
      <w:r>
        <w:rPr>
          <w:rFonts w:ascii="Calibri" w:hAnsi="Calibri"/>
          <w:color w:val="525866"/>
          <w:sz w:val="22"/>
        </w:rPr>
        <w:t xml:space="preserve">; renewal rates held steady at 3.0%–3.1%. AMH expects new leases to “peak out” in May/June and then “come off the 3% area into the mid-3s” in H2 — a constructive trajectory for INVH’s own new lease growth, which was at +0.5% in April and accelerating. </w:t>
      </w:r>
    </w:p>
    <w:p>
      <w:pPr>
        <w:pStyle w:val="ListBullet"/>
        <w:ind w:left="360" w:hanging="360"/>
      </w:pPr>
      <w:r>
        <w:rPr>
          <w:rFonts w:ascii="Calibri" w:hAnsi="Calibri"/>
          <w:b/>
          <w:color w:val="525866"/>
          <w:sz w:val="22"/>
        </w:rPr>
        <w:t>Supply picture “consistently improving”</w:t>
      </w:r>
      <w:r>
        <w:rPr>
          <w:rFonts w:ascii="Calibri" w:hAnsi="Calibri"/>
          <w:color w:val="525866"/>
          <w:sz w:val="22"/>
        </w:rPr>
        <w:t xml:space="preserve"> across most markets, with “green shoots” in some. Atlanta cited as an example where the rate of growth in supply started to decrease for the first time in several quarters — a key INVH market. </w:t>
      </w:r>
    </w:p>
    <w:p>
      <w:pPr>
        <w:pStyle w:val="ListBullet"/>
        <w:ind w:left="360" w:hanging="360"/>
      </w:pPr>
      <w:r>
        <w:rPr>
          <w:rFonts w:ascii="Calibri" w:hAnsi="Calibri"/>
          <w:b/>
          <w:color w:val="525866"/>
          <w:sz w:val="22"/>
        </w:rPr>
        <w:t>Prospects showing “a little bit more urgent” shopping behavior</w:t>
      </w:r>
      <w:r>
        <w:rPr>
          <w:rFonts w:ascii="Calibri" w:hAnsi="Calibri"/>
          <w:color w:val="525866"/>
          <w:sz w:val="22"/>
        </w:rPr>
        <w:t xml:space="preserve"> with better conversion rates vs. last year — consistent with INVH’s own funnel data showing stronger gross lead volume in 2026 vs. 2025. </w:t>
      </w:r>
    </w:p>
    <w:p>
      <w:pPr>
        <w:pStyle w:val="ListBullet"/>
        <w:ind w:left="360" w:hanging="360"/>
      </w:pPr>
      <w:r>
        <w:rPr>
          <w:rFonts w:ascii="Calibri" w:hAnsi="Calibri"/>
          <w:b/>
          <w:color w:val="525866"/>
          <w:sz w:val="22"/>
        </w:rPr>
        <w:t>Bad debt running at 80–90 bps</w:t>
      </w:r>
      <w:r>
        <w:rPr>
          <w:rFonts w:ascii="Calibri" w:hAnsi="Calibri"/>
          <w:color w:val="525866"/>
          <w:sz w:val="22"/>
        </w:rPr>
        <w:t xml:space="preserve">, close to historical lows (pre-COVID: 70–80 bps) — consistent with INVH’s 60 bps bad debt in Q1 2026. Both operators are seeing resident financial health remain strong. </w:t>
      </w:r>
    </w:p>
    <w:p>
      <w:pPr>
        <w:pStyle w:val="ListBullet"/>
        <w:ind w:left="360" w:hanging="360"/>
      </w:pPr>
      <w:r>
        <w:rPr>
          <w:rFonts w:ascii="Calibri" w:hAnsi="Calibri"/>
          <w:b/>
          <w:color w:val="525866"/>
          <w:sz w:val="22"/>
        </w:rPr>
        <w:t>Regulatory update:</w:t>
      </w:r>
      <w:r>
        <w:rPr>
          <w:rFonts w:ascii="Calibri" w:hAnsi="Calibri"/>
          <w:color w:val="525866"/>
          <w:sz w:val="22"/>
        </w:rPr>
        <w:t xml:space="preserve"> House decided to remove the Senate’s 7-year disposition requirement and remove build-to-rent from consideration. AMH “feels good about where things currently stand.” AMH repurchased ~$123M of stock QTD in Q2 at the time of the conference — similar capital allocation philosophy to INVH. </w:t>
      </w:r>
    </w:p>
    <w:p>
      <w:pPr>
        <w:pStyle w:val="Heading2"/>
      </w:pPr>
      <w:r>
        <w:rPr>
          <w:rFonts w:ascii="Calibri" w:hAnsi="Calibri"/>
          <w:b/>
          <w:color w:val="3B4259"/>
          <w:sz w:val="28"/>
        </w:rPr>
        <w:t>MAA (Mid-America Apartment Communities) — Nareit REITweek Conference (June 3, 2026)</w:t>
      </w:r>
    </w:p>
    <w:p>
      <w:r>
        <w:rPr>
          <w:rFonts w:ascii="Calibri" w:hAnsi="Calibri"/>
          <w:b/>
          <w:color w:val="525866"/>
          <w:sz w:val="22"/>
        </w:rPr>
        <w:t xml:space="preserve">Relevance: </w:t>
      </w:r>
      <w:r>
        <w:rPr>
          <w:rFonts w:ascii="Calibri" w:hAnsi="Calibri"/>
          <w:color w:val="525866"/>
          <w:sz w:val="22"/>
        </w:rPr>
        <w:t>MAA is a Sunbelt multifamily REIT with significant market overlap with INVH (Dallas, Phoenix, Charlotte, Orlando, Atlanta). MAA’s commentary on Sunbelt supply/demand dynamics is a key read-through for INVH’s largest markets.</w:t>
      </w:r>
    </w:p>
    <w:p>
      <w:pPr>
        <w:pStyle w:val="ListBullet"/>
        <w:ind w:left="360" w:hanging="360"/>
      </w:pPr>
      <w:r>
        <w:rPr>
          <w:rFonts w:ascii="Calibri" w:hAnsi="Calibri"/>
          <w:b/>
          <w:color w:val="525866"/>
          <w:sz w:val="22"/>
        </w:rPr>
        <w:t>Blended lease-over-lease rates up ~140 bps in May from Q1</w:t>
      </w:r>
      <w:r>
        <w:rPr>
          <w:rFonts w:ascii="Calibri" w:hAnsi="Calibri"/>
          <w:color w:val="525866"/>
          <w:sz w:val="22"/>
        </w:rPr>
        <w:t xml:space="preserve">; new lease rates up 240 bps in May from Q1. Average blended lease pricing in May was “the highest in almost 2 years.” This is a strong positive read-through for INVH’s own blended rent acceleration (INVH: +100 bps from Q1 to May QTD). </w:t>
      </w:r>
    </w:p>
    <w:p>
      <w:pPr>
        <w:pStyle w:val="ListBullet"/>
        <w:ind w:left="360" w:hanging="360"/>
      </w:pPr>
      <w:r>
        <w:rPr>
          <w:rFonts w:ascii="Calibri" w:hAnsi="Calibri"/>
          <w:b/>
          <w:color w:val="525866"/>
          <w:sz w:val="22"/>
        </w:rPr>
        <w:t>Supply declining significantly: down 40% from last year, down 60% from two years ago</w:t>
      </w:r>
      <w:r>
        <w:rPr>
          <w:rFonts w:ascii="Calibri" w:hAnsi="Calibri"/>
          <w:color w:val="525866"/>
          <w:sz w:val="22"/>
        </w:rPr>
        <w:t xml:space="preserve"> in MAA’s markets. New starts below long-term averages for 3 consecutive years. Inventory deliveries: 5.5% in 2024, 3.5% in 2025, ~2% in 2026. This declining supply trajectory is the primary driver of MAA’s “multiyear recovery” thesis — directly applicable to INVH’s Sunbelt SFR markets. </w:t>
      </w:r>
    </w:p>
    <w:p>
      <w:pPr>
        <w:pStyle w:val="ListBullet"/>
        <w:ind w:left="360" w:hanging="360"/>
      </w:pPr>
      <w:r>
        <w:rPr>
          <w:rFonts w:ascii="Calibri" w:hAnsi="Calibri"/>
          <w:b/>
          <w:color w:val="525866"/>
          <w:sz w:val="22"/>
        </w:rPr>
        <w:t>Job relocations accelerating to Sunbelt markets</w:t>
      </w:r>
      <w:r>
        <w:rPr>
          <w:rFonts w:ascii="Calibri" w:hAnsi="Calibri"/>
          <w:color w:val="525866"/>
          <w:sz w:val="22"/>
        </w:rPr>
        <w:t xml:space="preserve"> over the last 3–4 months (Starbucks to Nashville, Goldman Sachs to Dallas, JPMorgan to Charlotte) — positive demand driver for INVH’s markets. </w:t>
      </w:r>
    </w:p>
    <w:p>
      <w:pPr>
        <w:pStyle w:val="ListBullet"/>
        <w:ind w:left="360" w:hanging="360"/>
      </w:pPr>
      <w:r>
        <w:rPr>
          <w:rFonts w:ascii="Calibri" w:hAnsi="Calibri"/>
          <w:b/>
          <w:color w:val="525866"/>
          <w:sz w:val="22"/>
        </w:rPr>
        <w:t>Occupancy stabilizing and concession usage declining</w:t>
      </w:r>
      <w:r>
        <w:rPr>
          <w:rFonts w:ascii="Calibri" w:hAnsi="Calibri"/>
          <w:color w:val="525866"/>
          <w:sz w:val="22"/>
        </w:rPr>
        <w:t xml:space="preserve"> in most markets. South Austin example: improving concession fundamentals led to a 10 percentage point increase in new lease rates. Concession reduction is a leading indicator of pricing power recovery — INVH has no same-store concessions in place. </w:t>
      </w:r>
    </w:p>
    <w:p>
      <w:pPr>
        <w:pStyle w:val="ListBullet"/>
        <w:ind w:left="360" w:hanging="360"/>
      </w:pPr>
      <w:r>
        <w:rPr>
          <w:rFonts w:ascii="Calibri" w:hAnsi="Calibri"/>
          <w:b/>
          <w:color w:val="525866"/>
          <w:sz w:val="22"/>
        </w:rPr>
        <w:t>Resident financial health strong:</w:t>
      </w:r>
      <w:r>
        <w:rPr>
          <w:rFonts w:ascii="Calibri" w:hAnsi="Calibri"/>
          <w:color w:val="525866"/>
          <w:sz w:val="22"/>
        </w:rPr>
        <w:t xml:space="preserve"> rent-to-income at 20% (down from 23% three years ago), collections over 99%, delinquency at 30 bps (pre-COVID levels). Consistent with INVH’s 60 bps bad debt and strong resident retention. </w:t>
      </w:r>
    </w:p>
    <w:p>
      <w:pPr>
        <w:pStyle w:val="ListBullet"/>
        <w:ind w:left="360" w:hanging="360"/>
      </w:pPr>
      <w:r>
        <w:rPr>
          <w:rFonts w:ascii="Calibri" w:hAnsi="Calibri"/>
          <w:b/>
          <w:color w:val="525866"/>
          <w:sz w:val="22"/>
        </w:rPr>
        <w:t>Recovery could resemble post-GFC period</w:t>
      </w:r>
      <w:r>
        <w:rPr>
          <w:rFonts w:ascii="Calibri" w:hAnsi="Calibri"/>
          <w:color w:val="525866"/>
          <w:sz w:val="22"/>
        </w:rPr>
        <w:t xml:space="preserve"> (NOI up 7% in 2011, 9% in 2012, 6% in 2013). MAA anticipates a “hockey stick” recovery in H2 2026 as supply is absorbed — a bullish multi-year setup for INVH as well. </w:t>
      </w:r>
    </w:p>
    <w:p>
      <w:pPr>
        <w:pStyle w:val="Heading2"/>
      </w:pPr>
      <w:r>
        <w:rPr>
          <w:rFonts w:ascii="Calibri" w:hAnsi="Calibri"/>
          <w:b/>
          <w:color w:val="3B4259"/>
          <w:sz w:val="28"/>
        </w:rPr>
        <w:t>CPT (Camden Property Trust) — Q1 2026 Earnings (May 1, 2026)</w:t>
      </w:r>
    </w:p>
    <w:p>
      <w:r>
        <w:rPr>
          <w:rFonts w:ascii="Calibri" w:hAnsi="Calibri"/>
          <w:b/>
          <w:color w:val="525866"/>
          <w:sz w:val="22"/>
        </w:rPr>
        <w:t xml:space="preserve">Relevance: </w:t>
      </w:r>
      <w:r>
        <w:rPr>
          <w:rFonts w:ascii="Calibri" w:hAnsi="Calibri"/>
          <w:color w:val="525866"/>
          <w:sz w:val="22"/>
        </w:rPr>
        <w:t>CPT is a Sunbelt multifamily REIT with significant market overlap with INVH. CPT’s Q1 beat and April commentary provide an early read on Q2 leasing conditions in shared markets.</w:t>
      </w:r>
    </w:p>
    <w:p>
      <w:pPr>
        <w:pStyle w:val="ListBullet"/>
        <w:ind w:left="360" w:hanging="360"/>
      </w:pPr>
      <w:r>
        <w:rPr>
          <w:rFonts w:ascii="Calibri" w:hAnsi="Calibri"/>
          <w:b/>
          <w:color w:val="525866"/>
          <w:sz w:val="22"/>
        </w:rPr>
        <w:t>Q1 core FFO beat guidance midpoint by $0.04/share</w:t>
      </w:r>
      <w:r>
        <w:rPr>
          <w:rFonts w:ascii="Calibri" w:hAnsi="Calibri"/>
          <w:color w:val="525866"/>
          <w:sz w:val="22"/>
        </w:rPr>
        <w:t xml:space="preserve"> — driven by lower bad debt, higher collections, and timing-related expense savings. April occupancy improved to 95.4% (from 95.1% in Q1) and blended rates were up ~100 bps vs. Q1. </w:t>
      </w:r>
    </w:p>
    <w:p>
      <w:pPr>
        <w:pStyle w:val="ListBullet"/>
        <w:ind w:left="360" w:hanging="360"/>
      </w:pPr>
      <w:r>
        <w:rPr>
          <w:rFonts w:ascii="Calibri" w:hAnsi="Calibri"/>
          <w:b/>
          <w:color w:val="525866"/>
          <w:sz w:val="22"/>
        </w:rPr>
        <w:t>Markets showing “green shoots”:</w:t>
      </w:r>
      <w:r>
        <w:rPr>
          <w:rFonts w:ascii="Calibri" w:hAnsi="Calibri"/>
          <w:color w:val="525866"/>
          <w:sz w:val="22"/>
        </w:rPr>
        <w:t xml:space="preserve"> Atlanta, Dallas, Orlando, Nashville, Raleigh, and Southeast Florida — all key INVH markets. This is a direct positive read-through for INVH’s Q2 performance in these geographies. </w:t>
      </w:r>
    </w:p>
    <w:p>
      <w:pPr>
        <w:pStyle w:val="ListBullet"/>
        <w:ind w:left="360" w:hanging="360"/>
      </w:pPr>
      <w:r>
        <w:rPr>
          <w:rFonts w:ascii="Calibri" w:hAnsi="Calibri"/>
          <w:b/>
          <w:color w:val="525866"/>
          <w:sz w:val="22"/>
        </w:rPr>
        <w:t>New supply peaked and cut in half in most markets</w:t>
      </w:r>
      <w:r>
        <w:rPr>
          <w:rFonts w:ascii="Calibri" w:hAnsi="Calibri"/>
          <w:color w:val="525866"/>
          <w:sz w:val="22"/>
        </w:rPr>
        <w:t xml:space="preserve">; Q1 apartment net absorption was one of the best since 2016. Completions expected to drop from 200K in 2025 to 140–150K in 2026, then 135K in 2027 and 120K in 2028 — a multi-year tailwind for both multifamily and SFR operators. </w:t>
      </w:r>
    </w:p>
    <w:p>
      <w:pPr>
        <w:pStyle w:val="ListBullet"/>
        <w:ind w:left="360" w:hanging="360"/>
      </w:pPr>
      <w:r>
        <w:rPr>
          <w:rFonts w:ascii="Calibri" w:hAnsi="Calibri"/>
          <w:b/>
          <w:color w:val="525866"/>
          <w:sz w:val="22"/>
        </w:rPr>
        <w:t>Turnover at 30% annualized — one of the lowest in company history</w:t>
      </w:r>
      <w:r>
        <w:rPr>
          <w:rFonts w:ascii="Calibri" w:hAnsi="Calibri"/>
          <w:color w:val="525866"/>
          <w:sz w:val="22"/>
        </w:rPr>
        <w:t xml:space="preserve">; move-outs to home purchase at only 9.2% of total. Low turnover reduces vacancy friction and supports NOI — consistent with INVH’s 40+ month average resident tenure and 78%+ renewal rate. </w:t>
      </w:r>
    </w:p>
    <w:p>
      <w:pPr>
        <w:pStyle w:val="ListBullet"/>
        <w:ind w:left="360" w:hanging="360"/>
      </w:pPr>
      <w:r>
        <w:rPr>
          <w:rFonts w:ascii="Calibri" w:hAnsi="Calibri"/>
          <w:b/>
          <w:color w:val="525866"/>
          <w:sz w:val="22"/>
        </w:rPr>
        <w:t>Consumer sentiment “not great” despite strong underlying financials</w:t>
      </w:r>
      <w:r>
        <w:rPr>
          <w:rFonts w:ascii="Calibri" w:hAnsi="Calibri"/>
          <w:color w:val="525866"/>
          <w:sz w:val="22"/>
        </w:rPr>
        <w:t xml:space="preserve"> — making consumers “slower to make housing decisions.” This is a nuanced risk for INVH: while financial health is strong, sentiment-driven hesitancy could dampen new lease demand at the margin. </w:t>
      </w:r>
    </w:p>
    <w:p>
      <w:pPr>
        <w:pStyle w:val="ListBullet"/>
        <w:ind w:left="360" w:hanging="360"/>
      </w:pPr>
      <w:r>
        <w:rPr>
          <w:rFonts w:ascii="Calibri" w:hAnsi="Calibri"/>
          <w:b/>
          <w:color w:val="525866"/>
          <w:sz w:val="22"/>
        </w:rPr>
        <w:t>Renewal offers for May/June/July sent at mid-3% range</w:t>
      </w:r>
      <w:r>
        <w:rPr>
          <w:rFonts w:ascii="Calibri" w:hAnsi="Calibri"/>
          <w:color w:val="525866"/>
          <w:sz w:val="22"/>
        </w:rPr>
        <w:t xml:space="preserve"> — consistent with INVH’s renewal rate trajectory. CPT expects a “pretty strong Q3” as supply is absorbed, with an “atypical better Q4” due to dramatically declining supply. </w:t>
      </w:r>
    </w:p>
    <w:p>
      <w:pPr>
        <w:pStyle w:val="Heading2"/>
      </w:pPr>
      <w:r>
        <w:rPr>
          <w:rFonts w:ascii="Calibri" w:hAnsi="Calibri"/>
          <w:b/>
          <w:color w:val="3B4259"/>
          <w:sz w:val="28"/>
        </w:rPr>
        <w:t>UDR (United Dominion Realty Trust) — Q2 2026 Earnings (July 28, 2026)</w:t>
      </w:r>
    </w:p>
    <w:p>
      <w:r>
        <w:rPr>
          <w:rFonts w:ascii="Calibri" w:hAnsi="Calibri"/>
          <w:b/>
          <w:color w:val="525866"/>
          <w:sz w:val="22"/>
        </w:rPr>
        <w:t xml:space="preserve">Relevance: </w:t>
      </w:r>
      <w:r>
        <w:rPr>
          <w:rFonts w:ascii="Calibri" w:hAnsi="Calibri"/>
          <w:color w:val="525866"/>
          <w:sz w:val="22"/>
        </w:rPr>
        <w:t>UDR reported Q2 2026 results on the same day as this preview (July 28, 2026), making it the most timely and directly relevant peer read-through. UDR is a coastal-heavy multifamily REIT; its beat-and-raise is a positive signal for residential REIT fundamentals broadly, though the coastal vs. Sunbelt divergence is an important caveat for INVH.</w:t>
      </w:r>
    </w:p>
    <w:p>
      <w:pPr>
        <w:pStyle w:val="ListBullet"/>
        <w:ind w:left="360" w:hanging="360"/>
      </w:pPr>
      <w:r>
        <w:rPr>
          <w:rFonts w:ascii="Calibri" w:hAnsi="Calibri"/>
          <w:b/>
          <w:color w:val="525866"/>
          <w:sz w:val="22"/>
        </w:rPr>
        <w:t>UDR Q2 2026 beat-and-raise:</w:t>
      </w:r>
      <w:r>
        <w:rPr>
          <w:rFonts w:ascii="Calibri" w:hAnsi="Calibri"/>
          <w:color w:val="525866"/>
          <w:sz w:val="22"/>
        </w:rPr>
        <w:t xml:space="preserve"> FFO/share of $0.64 achieved the high end of guidance and exceeded consensus. Full-year 2026 FFO guidance raised by $0.01/share at the midpoint to $2.53. Same-store NOI growth guidance raised by 50 bps. </w:t>
      </w:r>
    </w:p>
    <w:p>
      <w:pPr>
        <w:pStyle w:val="ListBullet"/>
        <w:ind w:left="360" w:hanging="360"/>
      </w:pPr>
      <w:r>
        <w:rPr>
          <w:rFonts w:ascii="Calibri" w:hAnsi="Calibri"/>
          <w:b/>
          <w:color w:val="525866"/>
          <w:sz w:val="22"/>
        </w:rPr>
        <w:t>Q2 same-store revenue growth of 1.8%</w:t>
      </w:r>
      <w:r>
        <w:rPr>
          <w:rFonts w:ascii="Calibri" w:hAnsi="Calibri"/>
          <w:color w:val="525866"/>
          <w:sz w:val="22"/>
        </w:rPr>
        <w:t xml:space="preserve"> driven by blended lease rate growth of 2.1% (50 bps acceleration from Q1, exceeded high end of 1.5%–2.0% range). Resident retention at an all-time seasonal high of 60% (+140 bps YoY). </w:t>
      </w:r>
    </w:p>
    <w:p>
      <w:pPr>
        <w:pStyle w:val="ListBullet"/>
        <w:ind w:left="360" w:hanging="360"/>
      </w:pPr>
      <w:r>
        <w:rPr>
          <w:rFonts w:ascii="Calibri" w:hAnsi="Calibri"/>
          <w:b/>
          <w:color w:val="525866"/>
          <w:sz w:val="22"/>
        </w:rPr>
        <w:t>Coastal markets led performance:</w:t>
      </w:r>
      <w:r>
        <w:rPr>
          <w:rFonts w:ascii="Calibri" w:hAnsi="Calibri"/>
          <w:color w:val="525866"/>
          <w:sz w:val="22"/>
        </w:rPr>
        <w:t xml:space="preserve"> blended lease rate growth of 3.8% in coastal markets vs. -2% in Sunbelt. San Francisco standout with ~13% blended lease rate growth. This coastal/Sunbelt divergence is the key caveat for INVH — INVH’s portfolio is predominantly Sunbelt/Sun Belt-adjacent, where supply headwinds have been more persistent. </w:t>
      </w:r>
    </w:p>
    <w:p>
      <w:pPr>
        <w:pStyle w:val="ListBullet"/>
        <w:ind w:left="360" w:hanging="360"/>
      </w:pPr>
      <w:r>
        <w:rPr>
          <w:rFonts w:ascii="Calibri" w:hAnsi="Calibri"/>
          <w:b/>
          <w:color w:val="525866"/>
          <w:sz w:val="22"/>
        </w:rPr>
        <w:t>Sunbelt markets (25% of UDR NOI) saw -2% blends in Q2</w:t>
      </w:r>
      <w:r>
        <w:rPr>
          <w:rFonts w:ascii="Calibri" w:hAnsi="Calibri"/>
          <w:color w:val="525866"/>
          <w:sz w:val="22"/>
        </w:rPr>
        <w:t xml:space="preserve">, but July month-to-date trends improving to ~-1.5%. This is a mild negative read-through for INVH’s Sunbelt markets, though INVH’s SFR product has different supply dynamics than multifamily. </w:t>
      </w:r>
    </w:p>
    <w:p>
      <w:pPr>
        <w:pStyle w:val="ListBullet"/>
        <w:ind w:left="360" w:hanging="360"/>
      </w:pPr>
      <w:r>
        <w:rPr>
          <w:rFonts w:ascii="Calibri" w:hAnsi="Calibri"/>
          <w:b/>
          <w:color w:val="525866"/>
          <w:sz w:val="22"/>
        </w:rPr>
        <w:t>Supply pipeline “working its way through the system”</w:t>
      </w:r>
      <w:r>
        <w:rPr>
          <w:rFonts w:ascii="Calibri" w:hAnsi="Calibri"/>
          <w:color w:val="525866"/>
          <w:sz w:val="22"/>
        </w:rPr>
        <w:t xml:space="preserve">; UDR does not expect to face the same supply headwinds in 2027. New supply continues to abate, demand outpacing supply. Renewal notices being sent at 5%–5.5% with expected Q3 renewals of ~4% — higher than INVH’s mid-3s to mid-4s range, reflecting coastal market strength. </w:t>
      </w:r>
    </w:p>
    <w:p>
      <w:pPr>
        <w:pStyle w:val="ListBullet"/>
        <w:ind w:left="360" w:hanging="360"/>
      </w:pPr>
      <w:r>
        <w:rPr>
          <w:rFonts w:ascii="Calibri" w:hAnsi="Calibri"/>
          <w:b/>
          <w:color w:val="525866"/>
          <w:sz w:val="22"/>
        </w:rPr>
        <w:t>Employment growth exceeded consensus expectations</w:t>
      </w:r>
      <w:r>
        <w:rPr>
          <w:rFonts w:ascii="Calibri" w:hAnsi="Calibri"/>
          <w:color w:val="525866"/>
          <w:sz w:val="22"/>
        </w:rPr>
        <w:t xml:space="preserve">; housing affordability remains in favor of renting vs. owning. Rent-to-income ratios at 21% across UDR’s portfolio. Bad debt collections expected at 99%–99.1%. </w:t>
      </w:r>
    </w:p>
    <w:p>
      <w:pPr>
        <w:pStyle w:val="ListBullet"/>
        <w:ind w:left="360" w:hanging="360"/>
      </w:pPr>
      <w:r>
        <w:rPr>
          <w:rFonts w:ascii="Calibri" w:hAnsi="Calibri"/>
          <w:b/>
          <w:color w:val="525866"/>
          <w:sz w:val="22"/>
        </w:rPr>
        <w:t>July/August trends:</w:t>
      </w:r>
      <w:r>
        <w:rPr>
          <w:rFonts w:ascii="Calibri" w:hAnsi="Calibri"/>
          <w:color w:val="525866"/>
          <w:sz w:val="22"/>
        </w:rPr>
        <w:t xml:space="preserve"> occupancy in mid-96% range, blends at top end of 1.5%–2.0% second-half range. Coastal markets seeing July blended rent growth similar to Q2’s 3.8%. New lease growth projected flat across all regions through September — a mild caution for INVH’s new lease trajectory in H2. </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Key INVH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AMH Q1 Earnings</w:t>
            </w:r>
          </w:p>
        </w:tc>
        <w:tc>
          <w:tcPr>
            <w:tcW w:type="dxa" w:w="2160"/>
          </w:tcPr>
          <w:p>
            <w:r>
              <w:rPr>
                <w:rFonts w:ascii="Calibri" w:hAnsi="Calibri"/>
                <w:sz w:val="22"/>
              </w:rPr>
              <w:t>May 7, 2026</w:t>
            </w:r>
          </w:p>
        </w:tc>
        <w:tc>
          <w:tcPr>
            <w:tcW w:type="dxa" w:w="2160"/>
          </w:tcPr>
          <w:p>
            <w:r>
              <w:rPr>
                <w:rFonts w:ascii="Calibri" w:hAnsi="Calibri"/>
                <w:sz w:val="22"/>
              </w:rPr>
              <w:t>New lease growth turned positive in April (+1.2%); spring leasing season strong; supply improving; bad debt near historical lows</w:t>
            </w:r>
          </w:p>
        </w:tc>
        <w:tc>
          <w:tcPr>
            <w:tcW w:type="dxa" w:w="2160"/>
          </w:tcPr>
          <w:p>
            <w:r>
              <w:rPr>
                <w:rFonts w:ascii="Calibri" w:hAnsi="Calibri"/>
                <w:b/>
                <w:color w:val="30A46C"/>
                <w:sz w:val="22"/>
              </w:rPr>
              <w:t>Positive</w:t>
            </w:r>
          </w:p>
        </w:tc>
      </w:tr>
      <w:tr>
        <w:tc>
          <w:tcPr>
            <w:tcW w:type="dxa" w:w="2160"/>
          </w:tcPr>
          <w:p>
            <w:r>
              <w:rPr>
                <w:rFonts w:ascii="Calibri" w:hAnsi="Calibri"/>
                <w:sz w:val="22"/>
              </w:rPr>
              <w:t>AMH Nareit REITweek</w:t>
            </w:r>
          </w:p>
        </w:tc>
        <w:tc>
          <w:tcPr>
            <w:tcW w:type="dxa" w:w="2160"/>
          </w:tcPr>
          <w:p>
            <w:r>
              <w:rPr>
                <w:rFonts w:ascii="Calibri" w:hAnsi="Calibri"/>
                <w:sz w:val="22"/>
              </w:rPr>
              <w:t>June 3, 2026</w:t>
            </w:r>
          </w:p>
        </w:tc>
        <w:tc>
          <w:tcPr>
            <w:tcW w:type="dxa" w:w="2160"/>
          </w:tcPr>
          <w:p>
            <w:r>
              <w:rPr>
                <w:rFonts w:ascii="Calibri" w:hAnsi="Calibri"/>
                <w:sz w:val="22"/>
              </w:rPr>
              <w:t>Occupancy building to 96.2% in May; new lease growth +1.5% in May; supply “consistently improving”; Atlanta showing green shoots</w:t>
            </w:r>
          </w:p>
        </w:tc>
        <w:tc>
          <w:tcPr>
            <w:tcW w:type="dxa" w:w="2160"/>
          </w:tcPr>
          <w:p>
            <w:r>
              <w:rPr>
                <w:rFonts w:ascii="Calibri" w:hAnsi="Calibri"/>
                <w:b/>
                <w:color w:val="30A46C"/>
                <w:sz w:val="22"/>
              </w:rPr>
              <w:t>Positive</w:t>
            </w:r>
          </w:p>
        </w:tc>
      </w:tr>
      <w:tr>
        <w:tc>
          <w:tcPr>
            <w:tcW w:type="dxa" w:w="2160"/>
          </w:tcPr>
          <w:p>
            <w:r>
              <w:rPr>
                <w:rFonts w:ascii="Calibri" w:hAnsi="Calibri"/>
                <w:sz w:val="22"/>
              </w:rPr>
              <w:t>MAA Nareit REITweek</w:t>
            </w:r>
          </w:p>
        </w:tc>
        <w:tc>
          <w:tcPr>
            <w:tcW w:type="dxa" w:w="2160"/>
          </w:tcPr>
          <w:p>
            <w:r>
              <w:rPr>
                <w:rFonts w:ascii="Calibri" w:hAnsi="Calibri"/>
                <w:sz w:val="22"/>
              </w:rPr>
              <w:t>June 3, 2026</w:t>
            </w:r>
          </w:p>
        </w:tc>
        <w:tc>
          <w:tcPr>
            <w:tcW w:type="dxa" w:w="2160"/>
          </w:tcPr>
          <w:p>
            <w:r>
              <w:rPr>
                <w:rFonts w:ascii="Calibri" w:hAnsi="Calibri"/>
                <w:sz w:val="22"/>
              </w:rPr>
              <w:t>Blended rates up 140 bps in May from Q1; supply down 40% YoY; job relocations to Sunbelt accelerating; multiyear recovery thesis</w:t>
            </w:r>
          </w:p>
        </w:tc>
        <w:tc>
          <w:tcPr>
            <w:tcW w:type="dxa" w:w="2160"/>
          </w:tcPr>
          <w:p>
            <w:r>
              <w:rPr>
                <w:rFonts w:ascii="Calibri" w:hAnsi="Calibri"/>
                <w:b/>
                <w:color w:val="30A46C"/>
                <w:sz w:val="22"/>
              </w:rPr>
              <w:t>Positive</w:t>
            </w:r>
          </w:p>
        </w:tc>
      </w:tr>
      <w:tr>
        <w:tc>
          <w:tcPr>
            <w:tcW w:type="dxa" w:w="2160"/>
          </w:tcPr>
          <w:p>
            <w:r>
              <w:rPr>
                <w:rFonts w:ascii="Calibri" w:hAnsi="Calibri"/>
                <w:sz w:val="22"/>
              </w:rPr>
              <w:t>CPT Q1 Earnings</w:t>
            </w:r>
          </w:p>
        </w:tc>
        <w:tc>
          <w:tcPr>
            <w:tcW w:type="dxa" w:w="2160"/>
          </w:tcPr>
          <w:p>
            <w:r>
              <w:rPr>
                <w:rFonts w:ascii="Calibri" w:hAnsi="Calibri"/>
                <w:sz w:val="22"/>
              </w:rPr>
              <w:t>May 1, 2026</w:t>
            </w:r>
          </w:p>
        </w:tc>
        <w:tc>
          <w:tcPr>
            <w:tcW w:type="dxa" w:w="2160"/>
          </w:tcPr>
          <w:p>
            <w:r>
              <w:rPr>
                <w:rFonts w:ascii="Calibri" w:hAnsi="Calibri"/>
                <w:sz w:val="22"/>
              </w:rPr>
              <w:t>Q1 beat; April occupancy +30 bps; blended rates +100 bps in April; green shoots in Atlanta, Dallas, Orlando, Nashville</w:t>
            </w:r>
          </w:p>
        </w:tc>
        <w:tc>
          <w:tcPr>
            <w:tcW w:type="dxa" w:w="2160"/>
          </w:tcPr>
          <w:p>
            <w:r>
              <w:rPr>
                <w:rFonts w:ascii="Calibri" w:hAnsi="Calibri"/>
                <w:b/>
                <w:color w:val="30A46C"/>
                <w:sz w:val="22"/>
              </w:rPr>
              <w:t>Positive</w:t>
            </w:r>
          </w:p>
        </w:tc>
      </w:tr>
      <w:tr>
        <w:tc>
          <w:tcPr>
            <w:tcW w:type="dxa" w:w="2160"/>
          </w:tcPr>
          <w:p>
            <w:r>
              <w:rPr>
                <w:rFonts w:ascii="Calibri" w:hAnsi="Calibri"/>
                <w:sz w:val="22"/>
              </w:rPr>
              <w:t>UDR Q2 Earnings</w:t>
            </w:r>
          </w:p>
        </w:tc>
        <w:tc>
          <w:tcPr>
            <w:tcW w:type="dxa" w:w="2160"/>
          </w:tcPr>
          <w:p>
            <w:r>
              <w:rPr>
                <w:rFonts w:ascii="Calibri" w:hAnsi="Calibri"/>
                <w:sz w:val="22"/>
              </w:rPr>
              <w:t>July 28, 2026</w:t>
            </w:r>
          </w:p>
        </w:tc>
        <w:tc>
          <w:tcPr>
            <w:tcW w:type="dxa" w:w="2160"/>
          </w:tcPr>
          <w:p>
            <w:r>
              <w:rPr>
                <w:rFonts w:ascii="Calibri" w:hAnsi="Calibri"/>
                <w:sz w:val="22"/>
              </w:rPr>
              <w:t>Beat-and-raise; residential REIT fundamentals tracking ahead; Sunbelt blends -2% (caution); supply abating; employment strong</w:t>
            </w:r>
          </w:p>
        </w:tc>
        <w:tc>
          <w:tcPr>
            <w:tcW w:type="dxa" w:w="2160"/>
          </w:tcPr>
          <w:p>
            <w:r>
              <w:rPr>
                <w:rFonts w:ascii="Calibri" w:hAnsi="Calibri"/>
                <w:b/>
                <w:color w:val="002FA7"/>
                <w:sz w:val="22"/>
              </w:rPr>
              <w:t>Mixed (positive sector, Sunbelt caution)</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sells by insiders since Q1 earnings. All transactions in the window were </w:t>
      </w:r>
      <w:r>
        <w:rPr>
          <w:rFonts w:ascii="Calibri" w:hAnsi="Calibri"/>
          <w:b/>
          <w:color w:val="525866"/>
          <w:sz w:val="22"/>
        </w:rPr>
        <w:t>equity award grants (code “A”)</w:t>
      </w:r>
      <w:r>
        <w:rPr>
          <w:rFonts w:ascii="Calibri" w:hAnsi="Calibri"/>
          <w:color w:val="525866"/>
          <w:sz w:val="22"/>
        </w:rPr>
        <w:t xml:space="preserve"> — routine compensation-related issuances to directors and the EVP &amp; CLO. There is no discretionary insider buying or selling signal to read into heading into Q2 results.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Barbe, Cohen Jana</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6,559</w:t>
            </w:r>
          </w:p>
        </w:tc>
        <w:tc>
          <w:tcPr>
            <w:tcW w:type="dxa" w:w="1440"/>
          </w:tcPr>
          <w:p>
            <w:r>
              <w:rPr>
                <w:rFonts w:ascii="Calibri" w:hAnsi="Calibri"/>
                <w:sz w:val="22"/>
              </w:rPr>
              <w:t>May 7, 2026</w:t>
            </w:r>
          </w:p>
        </w:tc>
        <w:tc>
          <w:tcPr>
            <w:tcW w:type="dxa" w:w="1440"/>
          </w:tcPr>
          <w:p>
            <w:r>
              <w:rPr>
                <w:rFonts w:ascii="Calibri" w:hAnsi="Calibri"/>
                <w:sz w:val="22"/>
              </w:rPr>
              <w:t>Routine director compensation grant; not a discretionary open-market transaction</w:t>
            </w:r>
          </w:p>
        </w:tc>
      </w:tr>
      <w:tr>
        <w:tc>
          <w:tcPr>
            <w:tcW w:type="dxa" w:w="1440"/>
          </w:tcPr>
          <w:p>
            <w:r>
              <w:rPr>
                <w:rFonts w:ascii="Calibri" w:hAnsi="Calibri"/>
                <w:sz w:val="22"/>
              </w:rPr>
              <w:t>Fascitelli, Michael D</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6,559</w:t>
            </w:r>
          </w:p>
        </w:tc>
        <w:tc>
          <w:tcPr>
            <w:tcW w:type="dxa" w:w="1440"/>
          </w:tcPr>
          <w:p>
            <w:r>
              <w:rPr>
                <w:rFonts w:ascii="Calibri" w:hAnsi="Calibri"/>
                <w:sz w:val="22"/>
              </w:rPr>
              <w:t>May 7, 2026</w:t>
            </w:r>
          </w:p>
        </w:tc>
        <w:tc>
          <w:tcPr>
            <w:tcW w:type="dxa" w:w="1440"/>
          </w:tcPr>
          <w:p>
            <w:r>
              <w:rPr>
                <w:rFonts w:ascii="Calibri" w:hAnsi="Calibri"/>
                <w:sz w:val="22"/>
              </w:rPr>
              <w:t>Routine director compensation grant</w:t>
            </w:r>
          </w:p>
        </w:tc>
      </w:tr>
      <w:tr>
        <w:tc>
          <w:tcPr>
            <w:tcW w:type="dxa" w:w="1440"/>
          </w:tcPr>
          <w:p>
            <w:r>
              <w:rPr>
                <w:rFonts w:ascii="Calibri" w:hAnsi="Calibri"/>
                <w:sz w:val="22"/>
              </w:rPr>
              <w:t>Howard, Hugh Wyman III</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6,559</w:t>
            </w:r>
          </w:p>
        </w:tc>
        <w:tc>
          <w:tcPr>
            <w:tcW w:type="dxa" w:w="1440"/>
          </w:tcPr>
          <w:p>
            <w:r>
              <w:rPr>
                <w:rFonts w:ascii="Calibri" w:hAnsi="Calibri"/>
                <w:sz w:val="22"/>
              </w:rPr>
              <w:t>May 7, 2026</w:t>
            </w:r>
          </w:p>
        </w:tc>
        <w:tc>
          <w:tcPr>
            <w:tcW w:type="dxa" w:w="1440"/>
          </w:tcPr>
          <w:p>
            <w:r>
              <w:rPr>
                <w:rFonts w:ascii="Calibri" w:hAnsi="Calibri"/>
                <w:sz w:val="22"/>
              </w:rPr>
              <w:t>Routine director compensation grant</w:t>
            </w:r>
          </w:p>
        </w:tc>
      </w:tr>
      <w:tr>
        <w:tc>
          <w:tcPr>
            <w:tcW w:type="dxa" w:w="1440"/>
          </w:tcPr>
          <w:p>
            <w:r>
              <w:rPr>
                <w:rFonts w:ascii="Calibri" w:hAnsi="Calibri"/>
                <w:sz w:val="22"/>
              </w:rPr>
              <w:t>Kelter, Jeffrey E</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6,559</w:t>
            </w:r>
          </w:p>
        </w:tc>
        <w:tc>
          <w:tcPr>
            <w:tcW w:type="dxa" w:w="1440"/>
          </w:tcPr>
          <w:p>
            <w:r>
              <w:rPr>
                <w:rFonts w:ascii="Calibri" w:hAnsi="Calibri"/>
                <w:sz w:val="22"/>
              </w:rPr>
              <w:t>May 7, 2026</w:t>
            </w:r>
          </w:p>
        </w:tc>
        <w:tc>
          <w:tcPr>
            <w:tcW w:type="dxa" w:w="1440"/>
          </w:tcPr>
          <w:p>
            <w:r>
              <w:rPr>
                <w:rFonts w:ascii="Calibri" w:hAnsi="Calibri"/>
                <w:sz w:val="22"/>
              </w:rPr>
              <w:t>Routine director compensation grant</w:t>
            </w:r>
          </w:p>
        </w:tc>
      </w:tr>
      <w:tr>
        <w:tc>
          <w:tcPr>
            <w:tcW w:type="dxa" w:w="1440"/>
          </w:tcPr>
          <w:p>
            <w:r>
              <w:rPr>
                <w:rFonts w:ascii="Calibri" w:hAnsi="Calibri"/>
                <w:sz w:val="22"/>
              </w:rPr>
              <w:t>Margolis, Joseph D</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6,559</w:t>
            </w:r>
          </w:p>
        </w:tc>
        <w:tc>
          <w:tcPr>
            <w:tcW w:type="dxa" w:w="1440"/>
          </w:tcPr>
          <w:p>
            <w:r>
              <w:rPr>
                <w:rFonts w:ascii="Calibri" w:hAnsi="Calibri"/>
                <w:sz w:val="22"/>
              </w:rPr>
              <w:t>May 7, 2026</w:t>
            </w:r>
          </w:p>
        </w:tc>
        <w:tc>
          <w:tcPr>
            <w:tcW w:type="dxa" w:w="1440"/>
          </w:tcPr>
          <w:p>
            <w:r>
              <w:rPr>
                <w:rFonts w:ascii="Calibri" w:hAnsi="Calibri"/>
                <w:sz w:val="22"/>
              </w:rPr>
              <w:t>Routine director compensation grant</w:t>
            </w:r>
          </w:p>
        </w:tc>
      </w:tr>
      <w:tr>
        <w:tc>
          <w:tcPr>
            <w:tcW w:type="dxa" w:w="1440"/>
          </w:tcPr>
          <w:p>
            <w:r>
              <w:rPr>
                <w:rFonts w:ascii="Calibri" w:hAnsi="Calibri"/>
                <w:sz w:val="22"/>
              </w:rPr>
              <w:t>Sevilla-Sacasa, Frances Aldrich</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6,559</w:t>
            </w:r>
          </w:p>
        </w:tc>
        <w:tc>
          <w:tcPr>
            <w:tcW w:type="dxa" w:w="1440"/>
          </w:tcPr>
          <w:p>
            <w:r>
              <w:rPr>
                <w:rFonts w:ascii="Calibri" w:hAnsi="Calibri"/>
                <w:sz w:val="22"/>
              </w:rPr>
              <w:t>May 7, 2026</w:t>
            </w:r>
          </w:p>
        </w:tc>
        <w:tc>
          <w:tcPr>
            <w:tcW w:type="dxa" w:w="1440"/>
          </w:tcPr>
          <w:p>
            <w:r>
              <w:rPr>
                <w:rFonts w:ascii="Calibri" w:hAnsi="Calibri"/>
                <w:sz w:val="22"/>
              </w:rPr>
              <w:t>Routine director compensation grant</w:t>
            </w:r>
          </w:p>
        </w:tc>
      </w:tr>
      <w:tr>
        <w:tc>
          <w:tcPr>
            <w:tcW w:type="dxa" w:w="1440"/>
          </w:tcPr>
          <w:p>
            <w:r>
              <w:rPr>
                <w:rFonts w:ascii="Calibri" w:hAnsi="Calibri"/>
                <w:sz w:val="22"/>
              </w:rPr>
              <w:t>Smith, Kenny Kellyn</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6,559</w:t>
            </w:r>
          </w:p>
        </w:tc>
        <w:tc>
          <w:tcPr>
            <w:tcW w:type="dxa" w:w="1440"/>
          </w:tcPr>
          <w:p>
            <w:r>
              <w:rPr>
                <w:rFonts w:ascii="Calibri" w:hAnsi="Calibri"/>
                <w:sz w:val="22"/>
              </w:rPr>
              <w:t>May 7, 2026</w:t>
            </w:r>
          </w:p>
        </w:tc>
        <w:tc>
          <w:tcPr>
            <w:tcW w:type="dxa" w:w="1440"/>
          </w:tcPr>
          <w:p>
            <w:r>
              <w:rPr>
                <w:rFonts w:ascii="Calibri" w:hAnsi="Calibri"/>
                <w:sz w:val="22"/>
              </w:rPr>
              <w:t>Routine director compensation grant</w:t>
            </w:r>
          </w:p>
        </w:tc>
      </w:tr>
      <w:tr>
        <w:tc>
          <w:tcPr>
            <w:tcW w:type="dxa" w:w="1440"/>
          </w:tcPr>
          <w:p>
            <w:r>
              <w:rPr>
                <w:rFonts w:ascii="Calibri" w:hAnsi="Calibri"/>
                <w:sz w:val="22"/>
              </w:rPr>
              <w:t>Taylor, Keith D</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6,559</w:t>
            </w:r>
          </w:p>
        </w:tc>
        <w:tc>
          <w:tcPr>
            <w:tcW w:type="dxa" w:w="1440"/>
          </w:tcPr>
          <w:p>
            <w:r>
              <w:rPr>
                <w:rFonts w:ascii="Calibri" w:hAnsi="Calibri"/>
                <w:sz w:val="22"/>
              </w:rPr>
              <w:t>May 7, 2026</w:t>
            </w:r>
          </w:p>
        </w:tc>
        <w:tc>
          <w:tcPr>
            <w:tcW w:type="dxa" w:w="1440"/>
          </w:tcPr>
          <w:p>
            <w:r>
              <w:rPr>
                <w:rFonts w:ascii="Calibri" w:hAnsi="Calibri"/>
                <w:sz w:val="22"/>
              </w:rPr>
              <w:t>Routine director compensation grant</w:t>
            </w:r>
          </w:p>
        </w:tc>
      </w:tr>
      <w:tr>
        <w:tc>
          <w:tcPr>
            <w:tcW w:type="dxa" w:w="1440"/>
          </w:tcPr>
          <w:p>
            <w:r>
              <w:rPr>
                <w:rFonts w:ascii="Calibri" w:hAnsi="Calibri"/>
                <w:sz w:val="22"/>
              </w:rPr>
              <w:t>Solls, Mark A</w:t>
            </w:r>
          </w:p>
        </w:tc>
        <w:tc>
          <w:tcPr>
            <w:tcW w:type="dxa" w:w="1440"/>
          </w:tcPr>
          <w:p>
            <w:r>
              <w:rPr>
                <w:rFonts w:ascii="Calibri" w:hAnsi="Calibri"/>
                <w:sz w:val="22"/>
              </w:rPr>
              <w:t>EVP &amp; CLO</w:t>
            </w:r>
          </w:p>
        </w:tc>
        <w:tc>
          <w:tcPr>
            <w:tcW w:type="dxa" w:w="1440"/>
          </w:tcPr>
          <w:p>
            <w:r>
              <w:rPr>
                <w:rFonts w:ascii="Calibri" w:hAnsi="Calibri"/>
                <w:sz w:val="22"/>
              </w:rPr>
              <w:t>Equity Award Grant (Code A)</w:t>
            </w:r>
          </w:p>
        </w:tc>
        <w:tc>
          <w:tcPr>
            <w:tcW w:type="dxa" w:w="1440"/>
          </w:tcPr>
          <w:p>
            <w:r>
              <w:rPr>
                <w:rFonts w:ascii="Calibri" w:hAnsi="Calibri"/>
                <w:sz w:val="22"/>
              </w:rPr>
              <w:t>8,727</w:t>
            </w:r>
          </w:p>
        </w:tc>
        <w:tc>
          <w:tcPr>
            <w:tcW w:type="dxa" w:w="1440"/>
          </w:tcPr>
          <w:p>
            <w:r>
              <w:rPr>
                <w:rFonts w:ascii="Calibri" w:hAnsi="Calibri"/>
                <w:sz w:val="22"/>
              </w:rPr>
              <w:t>May 5, 2026</w:t>
            </w:r>
          </w:p>
        </w:tc>
        <w:tc>
          <w:tcPr>
            <w:tcW w:type="dxa" w:w="1440"/>
          </w:tcPr>
          <w:p>
            <w:r>
              <w:rPr>
                <w:rFonts w:ascii="Calibri" w:hAnsi="Calibri"/>
                <w:sz w:val="22"/>
              </w:rPr>
              <w:t>Routine executive compensation grant; slightly larger than director grants</w:t>
            </w:r>
          </w:p>
        </w:tc>
      </w:tr>
    </w:tbl>
    <w:p>
      <w:r>
        <w:rPr>
          <w:rFonts w:ascii="Calibri" w:hAnsi="Calibri"/>
          <w:b/>
          <w:color w:val="525866"/>
          <w:sz w:val="22"/>
        </w:rPr>
        <w:t xml:space="preserve">Note: </w:t>
      </w:r>
      <w:r>
        <w:rPr>
          <w:rFonts w:ascii="Calibri" w:hAnsi="Calibri"/>
          <w:color w:val="525866"/>
          <w:sz w:val="22"/>
        </w:rPr>
        <w:t>All transactions above are equity award grants (Form 4, transaction code “A”) — these are compensation-related issuances, not open-market purchases or sales. There were no open-market buys (code P) or open-market sells (code S) filed by INVH insiders in the period from April 29, 2026 through July 28, 2026. The absence of discretionary insider selling ahead of Q2 results is a mild positive signal, though the absence of open-market buying is also notable given management’s stated view that the stock is undervalued (implied $270K/home vs. $427K average sale price). Source: Insider Transaction Data (SEC Form 4).</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