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Invitation Homes (INVH)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Invitation Homes Inc.</w:t>
            </w:r>
          </w:p>
        </w:tc>
      </w:tr>
      <w:tr>
        <w:tc>
          <w:tcPr>
            <w:tcW w:type="dxa" w:w="4320"/>
          </w:tcPr>
          <w:p>
            <w:r>
              <w:rPr>
                <w:rFonts w:ascii="Calibri" w:hAnsi="Calibri"/>
                <w:b/>
                <w:sz w:val="22"/>
              </w:rPr>
              <w:t>Ticker</w:t>
            </w:r>
          </w:p>
        </w:tc>
        <w:tc>
          <w:tcPr>
            <w:tcW w:type="dxa" w:w="4320"/>
          </w:tcPr>
          <w:p>
            <w:r>
              <w:rPr>
                <w:rFonts w:ascii="Calibri" w:hAnsi="Calibri"/>
                <w:sz w:val="22"/>
              </w:rPr>
              <w:t>INVH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(after market close); conference call July 30, 2026 at 11:00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REIT — Single-Family Rental (SFR)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April/May leasing data already disclosed by management points to sequential acceleration in blended rent growth, and the single biggest swing factor is whether Q2 same-store NOI growth can inflect positive after the Q1 2026 dip.</w:t>
      </w:r>
    </w:p>
    <w:p>
      <w:r>
        <w:rPr>
          <w:rFonts w:ascii="Calibri" w:hAnsi="Calibri"/>
          <w:color w:val="525866"/>
          <w:sz w:val="22"/>
        </w:rPr>
        <w:t xml:space="preserve">Heading into the Q2 2026 print, the bar for INVH looks achievable: consensus Core FFO per share of </w:t>
      </w:r>
      <w:r>
        <w:rPr>
          <w:rFonts w:ascii="Calibri" w:hAnsi="Calibri"/>
          <w:b/>
          <w:color w:val="525866"/>
          <w:sz w:val="22"/>
        </w:rPr>
        <w:t>$0.489</w:t>
      </w:r>
      <w:r>
        <w:rPr>
          <w:rFonts w:ascii="Calibri" w:hAnsi="Calibri"/>
          <w:color w:val="525866"/>
          <w:sz w:val="22"/>
        </w:rPr>
        <w:t xml:space="preserve"> sits modestly above the Q1 2026 actual of $0.48, and management's own April commentary — blended rent growth of </w:t>
      </w:r>
      <w:r>
        <w:rPr>
          <w:rFonts w:ascii="Calibri" w:hAnsi="Calibri"/>
          <w:b/>
          <w:color w:val="525866"/>
          <w:sz w:val="22"/>
        </w:rPr>
        <w:t>2.3%</w:t>
      </w:r>
      <w:r>
        <w:rPr>
          <w:rFonts w:ascii="Calibri" w:hAnsi="Calibri"/>
          <w:color w:val="525866"/>
          <w:sz w:val="22"/>
        </w:rPr>
        <w:t xml:space="preserve"> with new lease rates turning positive for the first time in several quarters — provides a credible foundation for a sequential improvement in same-store revenue growth. Management maintained full-year 2026 guidance unchanged after Q1, citing early-year caution and a desire to see peak leasing season play out; the question now is whether the April/May momentum (AMH's SFR peer data shows new lease rates at +1.5% in May and occupancy building to 96.2%) is sufficient to prompt a guidance raise or at least a tightening of the range. Estimate revisions have drifted modestly lower since last earnings — Core FFO consensus for Q2 slipped from $0.483 to $0.489 (a slight upward drift in the most recent weeks) — suggesting the Street has not aggressively re-rated the stock on the improving leasing data, leaving some room for a positive surprise. The stock has recovered </w:t>
      </w:r>
      <w:r>
        <w:rPr>
          <w:rFonts w:ascii="Calibri" w:hAnsi="Calibri"/>
          <w:b/>
          <w:color w:val="525866"/>
          <w:sz w:val="22"/>
        </w:rPr>
        <w:t>+7.1%</w:t>
      </w:r>
      <w:r>
        <w:rPr>
          <w:rFonts w:ascii="Calibri" w:hAnsi="Calibri"/>
          <w:color w:val="525866"/>
          <w:sz w:val="22"/>
        </w:rPr>
        <w:t xml:space="preserve"> since the April 29 earnings date (from $28.07 to ~$30.05 as of July 28), broadly in line with the residential REIT ETF (REZ +11.3%), implying the market has partially priced in improving fundamentals but has not yet awarded a premium. The key wildcard is whether management raises full-year same-store NOI guidance — the midpoint of 1.15% leaves meaningful room to the upside if Q2 blended rent growth lands above the ~2.7% consensus estimate and expense growth moderates from the elevated Q1 pace.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Core FFO, but same-store NOI growth is the bigger swing factor — the Street expects a return to positive territory (~+1.0%) after Q1’s -0.3% dip, and any upside here would be the most meaningful catalyst for the stock.</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Core FFO per Share ($)</w:t>
            </w:r>
          </w:p>
        </w:tc>
        <w:tc>
          <w:tcPr>
            <w:tcW w:type="dxa" w:w="1234"/>
          </w:tcPr>
          <w:p>
            <w:r>
              <w:rPr>
                <w:rFonts w:ascii="Calibri" w:hAnsi="Calibri"/>
                <w:sz w:val="22"/>
              </w:rPr>
              <w:t>$0.48</w:t>
            </w:r>
          </w:p>
        </w:tc>
        <w:tc>
          <w:tcPr>
            <w:tcW w:type="dxa" w:w="1234"/>
          </w:tcPr>
          <w:p>
            <w:r>
              <w:rPr>
                <w:rFonts w:ascii="Calibri" w:hAnsi="Calibri"/>
                <w:sz w:val="22"/>
              </w:rPr>
              <w:t>$0.48</w:t>
            </w:r>
          </w:p>
        </w:tc>
        <w:tc>
          <w:tcPr>
            <w:tcW w:type="dxa" w:w="1234"/>
          </w:tcPr>
          <w:p>
            <w:r>
              <w:rPr>
                <w:rFonts w:ascii="Calibri" w:hAnsi="Calibri"/>
                <w:sz w:val="22"/>
              </w:rPr>
              <w:t>$0.489</w:t>
            </w:r>
          </w:p>
        </w:tc>
        <w:tc>
          <w:tcPr>
            <w:tcW w:type="dxa" w:w="1234"/>
          </w:tcPr>
          <w:p>
            <w:r>
              <w:rPr>
                <w:rFonts w:ascii="Calibri" w:hAnsi="Calibri"/>
                <w:sz w:val="22"/>
              </w:rPr>
              <w:t>+1.9%</w:t>
            </w:r>
          </w:p>
        </w:tc>
        <w:tc>
          <w:tcPr>
            <w:tcW w:type="dxa" w:w="1234"/>
          </w:tcPr>
          <w:p>
            <w:r>
              <w:rPr>
                <w:rFonts w:ascii="Calibri" w:hAnsi="Calibri"/>
                <w:sz w:val="22"/>
              </w:rPr>
              <w:t>$1.94 (FY midpoint)</w:t>
            </w:r>
          </w:p>
        </w:tc>
        <w:tc>
          <w:tcPr>
            <w:tcW w:type="dxa" w:w="1234"/>
          </w:tcPr>
          <w:p>
            <w:r>
              <w:rPr>
                <w:rFonts w:ascii="Calibri" w:hAnsi="Calibri"/>
                <w:sz w:val="22"/>
              </w:rPr>
              <w:t>~+0.4% vs. implied quarterly run-rate</w:t>
            </w:r>
          </w:p>
        </w:tc>
      </w:tr>
      <w:tr>
        <w:tc>
          <w:tcPr>
            <w:tcW w:type="dxa" w:w="1234"/>
          </w:tcPr>
          <w:p>
            <w:r>
              <w:rPr>
                <w:rFonts w:ascii="Calibri" w:hAnsi="Calibri"/>
                <w:sz w:val="22"/>
              </w:rPr>
              <w:t>AFFO per Share ($)</w:t>
            </w:r>
          </w:p>
        </w:tc>
        <w:tc>
          <w:tcPr>
            <w:tcW w:type="dxa" w:w="1234"/>
          </w:tcPr>
          <w:p>
            <w:r>
              <w:rPr>
                <w:rFonts w:ascii="Calibri" w:hAnsi="Calibri"/>
                <w:sz w:val="22"/>
              </w:rPr>
              <w:t>$0.41</w:t>
            </w:r>
          </w:p>
        </w:tc>
        <w:tc>
          <w:tcPr>
            <w:tcW w:type="dxa" w:w="1234"/>
          </w:tcPr>
          <w:p>
            <w:r>
              <w:rPr>
                <w:rFonts w:ascii="Calibri" w:hAnsi="Calibri"/>
                <w:sz w:val="22"/>
              </w:rPr>
              <w:t>$0.41</w:t>
            </w:r>
          </w:p>
        </w:tc>
        <w:tc>
          <w:tcPr>
            <w:tcW w:type="dxa" w:w="1234"/>
          </w:tcPr>
          <w:p>
            <w:r>
              <w:rPr>
                <w:rFonts w:ascii="Calibri" w:hAnsi="Calibri"/>
                <w:sz w:val="22"/>
              </w:rPr>
              <w:t>$0.414</w:t>
            </w:r>
          </w:p>
        </w:tc>
        <w:tc>
          <w:tcPr>
            <w:tcW w:type="dxa" w:w="1234"/>
          </w:tcPr>
          <w:p>
            <w:r>
              <w:rPr>
                <w:rFonts w:ascii="Calibri" w:hAnsi="Calibri"/>
                <w:sz w:val="22"/>
              </w:rPr>
              <w:t>+1.0%</w:t>
            </w:r>
          </w:p>
        </w:tc>
        <w:tc>
          <w:tcPr>
            <w:tcW w:type="dxa" w:w="1234"/>
          </w:tcPr>
          <w:p>
            <w:r>
              <w:rPr>
                <w:rFonts w:ascii="Calibri" w:hAnsi="Calibri"/>
                <w:sz w:val="22"/>
              </w:rPr>
              <w:t>$1.64 (FY midpoint)</w:t>
            </w:r>
          </w:p>
        </w:tc>
        <w:tc>
          <w:tcPr>
            <w:tcW w:type="dxa" w:w="1234"/>
          </w:tcPr>
          <w:p>
            <w:r>
              <w:rPr>
                <w:rFonts w:ascii="Calibri" w:hAnsi="Calibri"/>
                <w:sz w:val="22"/>
              </w:rPr>
              <w:t>~+0.7% vs. implied quarterly run-rate</w:t>
            </w:r>
          </w:p>
        </w:tc>
      </w:tr>
      <w:tr>
        <w:tc>
          <w:tcPr>
            <w:tcW w:type="dxa" w:w="1234"/>
          </w:tcPr>
          <w:p>
            <w:r>
              <w:rPr>
                <w:rFonts w:ascii="Calibri" w:hAnsi="Calibri"/>
                <w:sz w:val="22"/>
              </w:rPr>
              <w:t>Same-Store NOI Growth YoY (%)</w:t>
            </w:r>
          </w:p>
        </w:tc>
        <w:tc>
          <w:tcPr>
            <w:tcW w:type="dxa" w:w="1234"/>
          </w:tcPr>
          <w:p>
            <w:r>
              <w:rPr>
                <w:rFonts w:ascii="Calibri" w:hAnsi="Calibri"/>
                <w:sz w:val="22"/>
              </w:rPr>
              <w:t>-0.3%</w:t>
            </w:r>
          </w:p>
        </w:tc>
        <w:tc>
          <w:tcPr>
            <w:tcW w:type="dxa" w:w="1234"/>
          </w:tcPr>
          <w:p>
            <w:r>
              <w:rPr>
                <w:rFonts w:ascii="Calibri" w:hAnsi="Calibri"/>
                <w:sz w:val="22"/>
              </w:rPr>
              <w:t>+2.5%</w:t>
            </w:r>
          </w:p>
        </w:tc>
        <w:tc>
          <w:tcPr>
            <w:tcW w:type="dxa" w:w="1234"/>
          </w:tcPr>
          <w:p>
            <w:r>
              <w:rPr>
                <w:rFonts w:ascii="Calibri" w:hAnsi="Calibri"/>
                <w:sz w:val="22"/>
              </w:rPr>
              <w:t>~+1.0%</w:t>
            </w:r>
          </w:p>
        </w:tc>
        <w:tc>
          <w:tcPr>
            <w:tcW w:type="dxa" w:w="1234"/>
          </w:tcPr>
          <w:p>
            <w:r>
              <w:rPr>
                <w:rFonts w:ascii="Calibri" w:hAnsi="Calibri"/>
                <w:sz w:val="22"/>
              </w:rPr>
              <w:t>-150 bps YoY</w:t>
            </w:r>
          </w:p>
        </w:tc>
        <w:tc>
          <w:tcPr>
            <w:tcW w:type="dxa" w:w="1234"/>
          </w:tcPr>
          <w:p>
            <w:r>
              <w:rPr>
                <w:rFonts w:ascii="Calibri" w:hAnsi="Calibri"/>
                <w:sz w:val="22"/>
              </w:rPr>
              <w:t>0.3%–2.0% (mid: 1.15%)</w:t>
            </w:r>
          </w:p>
        </w:tc>
        <w:tc>
          <w:tcPr>
            <w:tcW w:type="dxa" w:w="1234"/>
          </w:tcPr>
          <w:p>
            <w:r>
              <w:rPr>
                <w:rFonts w:ascii="Calibri" w:hAnsi="Calibri"/>
                <w:sz w:val="22"/>
              </w:rPr>
              <w:t>~+15 bps above midpoint</w:t>
            </w:r>
          </w:p>
        </w:tc>
      </w:tr>
      <w:tr>
        <w:tc>
          <w:tcPr>
            <w:tcW w:type="dxa" w:w="1234"/>
          </w:tcPr>
          <w:p>
            <w:r>
              <w:rPr>
                <w:rFonts w:ascii="Calibri" w:hAnsi="Calibri"/>
                <w:sz w:val="22"/>
              </w:rPr>
              <w:t>Same-Store Occupancy (%)</w:t>
            </w:r>
          </w:p>
        </w:tc>
        <w:tc>
          <w:tcPr>
            <w:tcW w:type="dxa" w:w="1234"/>
          </w:tcPr>
          <w:p>
            <w:r>
              <w:rPr>
                <w:rFonts w:ascii="Calibri" w:hAnsi="Calibri"/>
                <w:sz w:val="22"/>
              </w:rPr>
              <w:t>96.3%</w:t>
            </w:r>
          </w:p>
        </w:tc>
        <w:tc>
          <w:tcPr>
            <w:tcW w:type="dxa" w:w="1234"/>
          </w:tcPr>
          <w:p>
            <w:r>
              <w:rPr>
                <w:rFonts w:ascii="Calibri" w:hAnsi="Calibri"/>
                <w:sz w:val="22"/>
              </w:rPr>
              <w:t>97.3%</w:t>
            </w:r>
          </w:p>
        </w:tc>
        <w:tc>
          <w:tcPr>
            <w:tcW w:type="dxa" w:w="1234"/>
          </w:tcPr>
          <w:p>
            <w:r>
              <w:rPr>
                <w:rFonts w:ascii="Calibri" w:hAnsi="Calibri"/>
                <w:sz w:val="22"/>
              </w:rPr>
              <w:t>~96.7%</w:t>
            </w:r>
          </w:p>
        </w:tc>
        <w:tc>
          <w:tcPr>
            <w:tcW w:type="dxa" w:w="1234"/>
          </w:tcPr>
          <w:p>
            <w:r>
              <w:rPr>
                <w:rFonts w:ascii="Calibri" w:hAnsi="Calibri"/>
                <w:sz w:val="22"/>
              </w:rPr>
              <w:t>-60 bps YoY</w:t>
            </w:r>
          </w:p>
        </w:tc>
        <w:tc>
          <w:tcPr>
            <w:tcW w:type="dxa" w:w="1234"/>
          </w:tcPr>
          <w:p>
            <w:r>
              <w:rPr>
                <w:rFonts w:ascii="Calibri" w:hAnsi="Calibri"/>
                <w:sz w:val="22"/>
              </w:rPr>
              <w:t>96.0%–96.6% (FY avg.)</w:t>
            </w:r>
          </w:p>
        </w:tc>
        <w:tc>
          <w:tcPr>
            <w:tcW w:type="dxa" w:w="1234"/>
          </w:tcPr>
          <w:p>
            <w:r>
              <w:rPr>
                <w:rFonts w:ascii="Calibri" w:hAnsi="Calibri"/>
                <w:sz w:val="22"/>
              </w:rPr>
              <w:t>~+10 bps above FY midpoint</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+1.6%</w:t>
            </w:r>
          </w:p>
        </w:tc>
        <w:tc>
          <w:tcPr>
            <w:tcW w:type="dxa" w:w="1234"/>
          </w:tcPr>
          <w:p>
            <w:r>
              <w:rPr>
                <w:rFonts w:ascii="Calibri" w:hAnsi="Calibri"/>
                <w:sz w:val="22"/>
              </w:rPr>
              <w:t>+4.0%</w:t>
            </w:r>
          </w:p>
        </w:tc>
        <w:tc>
          <w:tcPr>
            <w:tcW w:type="dxa" w:w="1234"/>
          </w:tcPr>
          <w:p>
            <w:r>
              <w:rPr>
                <w:rFonts w:ascii="Calibri" w:hAnsi="Calibri"/>
                <w:sz w:val="22"/>
              </w:rPr>
              <w:t>~+2.7%</w:t>
            </w:r>
          </w:p>
        </w:tc>
        <w:tc>
          <w:tcPr>
            <w:tcW w:type="dxa" w:w="1234"/>
          </w:tcPr>
          <w:p>
            <w:r>
              <w:rPr>
                <w:rFonts w:ascii="Calibri" w:hAnsi="Calibri"/>
                <w:sz w:val="22"/>
              </w:rPr>
              <w:t>-130 bps YoY</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Same-Store Revenue Growth YoY (%)</w:t>
            </w:r>
          </w:p>
        </w:tc>
        <w:tc>
          <w:tcPr>
            <w:tcW w:type="dxa" w:w="1234"/>
          </w:tcPr>
          <w:p>
            <w:r>
              <w:rPr>
                <w:rFonts w:ascii="Calibri" w:hAnsi="Calibri"/>
                <w:sz w:val="22"/>
              </w:rPr>
              <w:t>+1.6%</w:t>
            </w:r>
          </w:p>
        </w:tc>
        <w:tc>
          <w:tcPr>
            <w:tcW w:type="dxa" w:w="1234"/>
          </w:tcPr>
          <w:p>
            <w:r>
              <w:rPr>
                <w:rFonts w:ascii="Calibri" w:hAnsi="Calibri"/>
                <w:sz w:val="22"/>
              </w:rPr>
              <w:t>N/A — not separately reported</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1.3%–2.5% (mid: 1.9%)</w:t>
            </w:r>
          </w:p>
        </w:tc>
        <w:tc>
          <w:tcPr>
            <w:tcW w:type="dxa" w:w="1234"/>
          </w:tcPr>
          <w:p>
            <w:r>
              <w:rPr>
                <w:rFonts w:ascii="Calibri" w:hAnsi="Calibri"/>
                <w:sz w:val="22"/>
              </w:rPr>
              <w:t>N/A</w:t>
            </w:r>
          </w:p>
        </w:tc>
      </w:tr>
      <w:tr>
        <w:tc>
          <w:tcPr>
            <w:tcW w:type="dxa" w:w="1234"/>
          </w:tcPr>
          <w:p>
            <w:r>
              <w:rPr>
                <w:rFonts w:ascii="Calibri" w:hAnsi="Calibri"/>
                <w:sz w:val="22"/>
              </w:rPr>
              <w:t>Total Revenues ($M)</w:t>
            </w:r>
          </w:p>
        </w:tc>
        <w:tc>
          <w:tcPr>
            <w:tcW w:type="dxa" w:w="1234"/>
          </w:tcPr>
          <w:p>
            <w:r>
              <w:rPr>
                <w:rFonts w:ascii="Calibri" w:hAnsi="Calibri"/>
                <w:sz w:val="22"/>
              </w:rPr>
              <w:t>$734M</w:t>
            </w:r>
          </w:p>
        </w:tc>
        <w:tc>
          <w:tcPr>
            <w:tcW w:type="dxa" w:w="1234"/>
          </w:tcPr>
          <w:p>
            <w:r>
              <w:rPr>
                <w:rFonts w:ascii="Calibri" w:hAnsi="Calibri"/>
                <w:sz w:val="22"/>
              </w:rPr>
              <w:t>$681M</w:t>
            </w:r>
          </w:p>
        </w:tc>
        <w:tc>
          <w:tcPr>
            <w:tcW w:type="dxa" w:w="1234"/>
          </w:tcPr>
          <w:p>
            <w:r>
              <w:rPr>
                <w:rFonts w:ascii="Calibri" w:hAnsi="Calibri"/>
                <w:sz w:val="22"/>
              </w:rPr>
              <w:t>~$728M</w:t>
            </w:r>
          </w:p>
        </w:tc>
        <w:tc>
          <w:tcPr>
            <w:tcW w:type="dxa" w:w="1234"/>
          </w:tcPr>
          <w:p>
            <w:r>
              <w:rPr>
                <w:rFonts w:ascii="Calibri" w:hAnsi="Calibri"/>
                <w:sz w:val="22"/>
              </w:rPr>
              <w:t>+6.9% YoY</w:t>
            </w:r>
          </w:p>
        </w:tc>
        <w:tc>
          <w:tcPr>
            <w:tcW w:type="dxa" w:w="1234"/>
          </w:tcPr>
          <w:p>
            <w:r>
              <w:rPr>
                <w:rFonts w:ascii="Calibri" w:hAnsi="Calibri"/>
                <w:sz w:val="22"/>
              </w:rPr>
              <w:t>~$2.92B (FY)</w:t>
            </w:r>
          </w:p>
        </w:tc>
        <w:tc>
          <w:tcPr>
            <w:tcW w:type="dxa" w:w="1234"/>
          </w:tcPr>
          <w:p>
            <w:r>
              <w:rPr>
                <w:rFonts w:ascii="Calibri" w:hAnsi="Calibri"/>
                <w:sz w:val="22"/>
              </w:rPr>
              <w:t>~-0.7% vs. FY implied quarterly</w:t>
            </w:r>
          </w:p>
        </w:tc>
      </w:tr>
    </w:tbl>
    <w:p>
      <w:r>
        <w:rPr>
          <w:rFonts w:ascii="Calibri" w:hAnsi="Calibri"/>
          <w:b/>
          <w:color w:val="525866"/>
          <w:sz w:val="22"/>
        </w:rPr>
        <w:t xml:space="preserve">Sources: </w:t>
      </w:r>
      <w:r>
        <w:rPr>
          <w:rFonts w:ascii="Calibri" w:hAnsi="Calibri"/>
          <w:color w:val="525866"/>
          <w:sz w:val="22"/>
        </w:rPr>
        <w:t>Visible Alpha Consensus and Actuals Data (Core FFO per share, AFFO per share, Same-Store NOI Growth, Same-Store Occupancy, Effective Blended Lease Rate, Total Revenues); INVH Q1 2026 Earnings Release (April 29, 2026) for guidance ranges. Q2 2025 actuals and Q1 2026 actuals sourced from Visible Alpha. Q2 2026 consensus estimates as of July 28, 2026.</w:t>
      </w:r>
    </w:p>
    <w:p>
      <w:pPr>
        <w:pStyle w:val="Heading3"/>
      </w:pPr>
      <w:r>
        <w:rPr>
          <w:rFonts w:ascii="Calibri" w:hAnsi="Calibri"/>
          <w:b/>
          <w:color w:val="3B4259"/>
          <w:sz w:val="24"/>
        </w:rPr>
        <w:t>Table 2 — Beat/Miss History: Last 8 Quarters (Top 2 KPIs: Core FFO per Share &amp; Same-Store NOI Growth)</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Core FFO Reported ($)</w:t>
            </w:r>
          </w:p>
        </w:tc>
        <w:tc>
          <w:tcPr>
            <w:tcW w:type="dxa" w:w="1234"/>
            <w:shd w:val="clear" w:color="auto" w:fill="3B4259"/>
          </w:tcPr>
          <w:p>
            <w:r>
              <w:rPr>
                <w:rFonts w:ascii="Calibri" w:hAnsi="Calibri"/>
                <w:b/>
                <w:color w:val="FFFFFF"/>
                <w:sz w:val="22"/>
              </w:rPr>
              <w:t>Core FFO Consensus ($)</w:t>
            </w:r>
          </w:p>
        </w:tc>
        <w:tc>
          <w:tcPr>
            <w:tcW w:type="dxa" w:w="1234"/>
            <w:shd w:val="clear" w:color="auto" w:fill="3B4259"/>
          </w:tcPr>
          <w:p>
            <w:r>
              <w:rPr>
                <w:rFonts w:ascii="Calibri" w:hAnsi="Calibri"/>
                <w:b/>
                <w:color w:val="FFFFFF"/>
                <w:sz w:val="22"/>
              </w:rPr>
              <w:t>Core FFO Surprise</w:t>
            </w:r>
          </w:p>
        </w:tc>
        <w:tc>
          <w:tcPr>
            <w:tcW w:type="dxa" w:w="1234"/>
            <w:shd w:val="clear" w:color="auto" w:fill="3B4259"/>
          </w:tcPr>
          <w:p>
            <w:r>
              <w:rPr>
                <w:rFonts w:ascii="Calibri" w:hAnsi="Calibri"/>
                <w:b/>
                <w:color w:val="FFFFFF"/>
                <w:sz w:val="22"/>
              </w:rPr>
              <w:t>SS NOI Growth Reported (%)</w:t>
            </w:r>
          </w:p>
        </w:tc>
        <w:tc>
          <w:tcPr>
            <w:tcW w:type="dxa" w:w="1234"/>
            <w:shd w:val="clear" w:color="auto" w:fill="3B4259"/>
          </w:tcPr>
          <w:p>
            <w:r>
              <w:rPr>
                <w:rFonts w:ascii="Calibri" w:hAnsi="Calibri"/>
                <w:b/>
                <w:color w:val="FFFFFF"/>
                <w:sz w:val="22"/>
              </w:rPr>
              <w:t>SS NOI Growth Consensus (%)</w:t>
            </w:r>
          </w:p>
        </w:tc>
        <w:tc>
          <w:tcPr>
            <w:tcW w:type="dxa" w:w="1234"/>
            <w:shd w:val="clear" w:color="auto" w:fill="3B4259"/>
          </w:tcPr>
          <w:p>
            <w:r>
              <w:rPr>
                <w:rFonts w:ascii="Calibri" w:hAnsi="Calibri"/>
                <w:b/>
                <w:color w:val="FFFFFF"/>
                <w:sz w:val="22"/>
              </w:rPr>
              <w:t>SS NOI Surprise</w:t>
            </w:r>
          </w:p>
        </w:tc>
      </w:tr>
      <w:tr>
        <w:tc>
          <w:tcPr>
            <w:tcW w:type="dxa" w:w="1234"/>
          </w:tcPr>
          <w:p>
            <w:r>
              <w:rPr>
                <w:rFonts w:ascii="Calibri" w:hAnsi="Calibri"/>
                <w:sz w:val="22"/>
              </w:rPr>
              <w:t>Q1 2026</w:t>
            </w:r>
          </w:p>
        </w:tc>
        <w:tc>
          <w:tcPr>
            <w:tcW w:type="dxa" w:w="1234"/>
          </w:tcPr>
          <w:p>
            <w:r>
              <w:rPr>
                <w:rFonts w:ascii="Calibri" w:hAnsi="Calibri"/>
                <w:sz w:val="22"/>
              </w:rPr>
              <w:t>$0.48</w:t>
            </w:r>
          </w:p>
        </w:tc>
        <w:tc>
          <w:tcPr>
            <w:tcW w:type="dxa" w:w="1234"/>
          </w:tcPr>
          <w:p>
            <w:r>
              <w:rPr>
                <w:rFonts w:ascii="Calibri" w:hAnsi="Calibri"/>
                <w:sz w:val="22"/>
              </w:rPr>
              <w:t>$0.483</w:t>
            </w:r>
          </w:p>
        </w:tc>
        <w:tc>
          <w:tcPr>
            <w:tcW w:type="dxa" w:w="1234"/>
          </w:tcPr>
          <w:p>
            <w:r>
              <w:rPr>
                <w:rFonts w:ascii="Calibri" w:hAnsi="Calibri"/>
                <w:b/>
                <w:color w:val="E5484D"/>
                <w:sz w:val="22"/>
              </w:rPr>
              <w:t>-0.6% (Miss)</w:t>
            </w:r>
          </w:p>
        </w:tc>
        <w:tc>
          <w:tcPr>
            <w:tcW w:type="dxa" w:w="1234"/>
          </w:tcPr>
          <w:p>
            <w:r>
              <w:rPr>
                <w:rFonts w:ascii="Calibri" w:hAnsi="Calibri"/>
                <w:sz w:val="22"/>
              </w:rPr>
              <w:t>-0.3%</w:t>
            </w:r>
          </w:p>
        </w:tc>
        <w:tc>
          <w:tcPr>
            <w:tcW w:type="dxa" w:w="1234"/>
          </w:tcPr>
          <w:p>
            <w:r>
              <w:rPr>
                <w:rFonts w:ascii="Calibri" w:hAnsi="Calibri"/>
                <w:sz w:val="22"/>
              </w:rPr>
              <w:t>+0.5%</w:t>
            </w:r>
          </w:p>
        </w:tc>
        <w:tc>
          <w:tcPr>
            <w:tcW w:type="dxa" w:w="1234"/>
          </w:tcPr>
          <w:p>
            <w:r>
              <w:rPr>
                <w:rFonts w:ascii="Calibri" w:hAnsi="Calibri"/>
                <w:b/>
                <w:color w:val="E5484D"/>
                <w:sz w:val="22"/>
              </w:rPr>
              <w:t>-80 bps (Miss)</w:t>
            </w:r>
          </w:p>
        </w:tc>
      </w:tr>
      <w:tr>
        <w:tc>
          <w:tcPr>
            <w:tcW w:type="dxa" w:w="1234"/>
          </w:tcPr>
          <w:p>
            <w:r>
              <w:rPr>
                <w:rFonts w:ascii="Calibri" w:hAnsi="Calibri"/>
                <w:sz w:val="22"/>
              </w:rPr>
              <w:t>Q4 2025</w:t>
            </w:r>
          </w:p>
        </w:tc>
        <w:tc>
          <w:tcPr>
            <w:tcW w:type="dxa" w:w="1234"/>
          </w:tcPr>
          <w:p>
            <w:r>
              <w:rPr>
                <w:rFonts w:ascii="Calibri" w:hAnsi="Calibri"/>
                <w:sz w:val="22"/>
              </w:rPr>
              <w:t>$0.48</w:t>
            </w:r>
          </w:p>
        </w:tc>
        <w:tc>
          <w:tcPr>
            <w:tcW w:type="dxa" w:w="1234"/>
          </w:tcPr>
          <w:p>
            <w:r>
              <w:rPr>
                <w:rFonts w:ascii="Calibri" w:hAnsi="Calibri"/>
                <w:sz w:val="22"/>
              </w:rPr>
              <w:t>$0.480</w:t>
            </w:r>
          </w:p>
        </w:tc>
        <w:tc>
          <w:tcPr>
            <w:tcW w:type="dxa" w:w="1234"/>
          </w:tcPr>
          <w:p>
            <w:r>
              <w:rPr>
                <w:rFonts w:ascii="Calibri" w:hAnsi="Calibri"/>
                <w:sz w:val="22"/>
              </w:rPr>
              <w:t>0.0% (In-Line)</w:t>
            </w:r>
          </w:p>
        </w:tc>
        <w:tc>
          <w:tcPr>
            <w:tcW w:type="dxa" w:w="1234"/>
          </w:tcPr>
          <w:p>
            <w:r>
              <w:rPr>
                <w:rFonts w:ascii="Calibri" w:hAnsi="Calibri"/>
                <w:sz w:val="22"/>
              </w:rPr>
              <w:t>+0.7%</w:t>
            </w:r>
          </w:p>
        </w:tc>
        <w:tc>
          <w:tcPr>
            <w:tcW w:type="dxa" w:w="1234"/>
          </w:tcPr>
          <w:p>
            <w:r>
              <w:rPr>
                <w:rFonts w:ascii="Calibri" w:hAnsi="Calibri"/>
                <w:sz w:val="22"/>
              </w:rPr>
              <w:t>+1.1%</w:t>
            </w:r>
          </w:p>
        </w:tc>
        <w:tc>
          <w:tcPr>
            <w:tcW w:type="dxa" w:w="1234"/>
          </w:tcPr>
          <w:p>
            <w:r>
              <w:rPr>
                <w:rFonts w:ascii="Calibri" w:hAnsi="Calibri"/>
                <w:b/>
                <w:color w:val="E5484D"/>
                <w:sz w:val="22"/>
              </w:rPr>
              <w:t>-40 bps (Miss)</w:t>
            </w:r>
          </w:p>
        </w:tc>
      </w:tr>
      <w:tr>
        <w:tc>
          <w:tcPr>
            <w:tcW w:type="dxa" w:w="1234"/>
          </w:tcPr>
          <w:p>
            <w:r>
              <w:rPr>
                <w:rFonts w:ascii="Calibri" w:hAnsi="Calibri"/>
                <w:sz w:val="22"/>
              </w:rPr>
              <w:t>Q3 2025</w:t>
            </w:r>
          </w:p>
        </w:tc>
        <w:tc>
          <w:tcPr>
            <w:tcW w:type="dxa" w:w="1234"/>
          </w:tcPr>
          <w:p>
            <w:r>
              <w:rPr>
                <w:rFonts w:ascii="Calibri" w:hAnsi="Calibri"/>
                <w:sz w:val="22"/>
              </w:rPr>
              <w:t>$0.47</w:t>
            </w:r>
          </w:p>
        </w:tc>
        <w:tc>
          <w:tcPr>
            <w:tcW w:type="dxa" w:w="1234"/>
          </w:tcPr>
          <w:p>
            <w:r>
              <w:rPr>
                <w:rFonts w:ascii="Calibri" w:hAnsi="Calibri"/>
                <w:sz w:val="22"/>
              </w:rPr>
              <w:t>$0.470</w:t>
            </w:r>
          </w:p>
        </w:tc>
        <w:tc>
          <w:tcPr>
            <w:tcW w:type="dxa" w:w="1234"/>
          </w:tcPr>
          <w:p>
            <w:r>
              <w:rPr>
                <w:rFonts w:ascii="Calibri" w:hAnsi="Calibri"/>
                <w:sz w:val="22"/>
              </w:rPr>
              <w:t>0.0% (In-Line)</w:t>
            </w:r>
          </w:p>
        </w:tc>
        <w:tc>
          <w:tcPr>
            <w:tcW w:type="dxa" w:w="1234"/>
          </w:tcPr>
          <w:p>
            <w:r>
              <w:rPr>
                <w:rFonts w:ascii="Calibri" w:hAnsi="Calibri"/>
                <w:sz w:val="22"/>
              </w:rPr>
              <w:t>+1.1%</w:t>
            </w:r>
          </w:p>
        </w:tc>
        <w:tc>
          <w:tcPr>
            <w:tcW w:type="dxa" w:w="1234"/>
          </w:tcPr>
          <w:p>
            <w:r>
              <w:rPr>
                <w:rFonts w:ascii="Calibri" w:hAnsi="Calibri"/>
                <w:sz w:val="22"/>
              </w:rPr>
              <w:t>+1.6%</w:t>
            </w:r>
          </w:p>
        </w:tc>
        <w:tc>
          <w:tcPr>
            <w:tcW w:type="dxa" w:w="1234"/>
          </w:tcPr>
          <w:p>
            <w:r>
              <w:rPr>
                <w:rFonts w:ascii="Calibri" w:hAnsi="Calibri"/>
                <w:b/>
                <w:color w:val="E5484D"/>
                <w:sz w:val="22"/>
              </w:rPr>
              <w:t>-50 bps (Miss)</w:t>
            </w:r>
          </w:p>
        </w:tc>
      </w:tr>
      <w:tr>
        <w:tc>
          <w:tcPr>
            <w:tcW w:type="dxa" w:w="1234"/>
          </w:tcPr>
          <w:p>
            <w:r>
              <w:rPr>
                <w:rFonts w:ascii="Calibri" w:hAnsi="Calibri"/>
                <w:sz w:val="22"/>
              </w:rPr>
              <w:t>Q2 2025</w:t>
            </w:r>
          </w:p>
        </w:tc>
        <w:tc>
          <w:tcPr>
            <w:tcW w:type="dxa" w:w="1234"/>
          </w:tcPr>
          <w:p>
            <w:r>
              <w:rPr>
                <w:rFonts w:ascii="Calibri" w:hAnsi="Calibri"/>
                <w:sz w:val="22"/>
              </w:rPr>
              <w:t>$0.48</w:t>
            </w:r>
          </w:p>
        </w:tc>
        <w:tc>
          <w:tcPr>
            <w:tcW w:type="dxa" w:w="1234"/>
          </w:tcPr>
          <w:p>
            <w:r>
              <w:rPr>
                <w:rFonts w:ascii="Calibri" w:hAnsi="Calibri"/>
                <w:sz w:val="22"/>
              </w:rPr>
              <w:t>$0.476</w:t>
            </w:r>
          </w:p>
        </w:tc>
        <w:tc>
          <w:tcPr>
            <w:tcW w:type="dxa" w:w="1234"/>
          </w:tcPr>
          <w:p>
            <w:r>
              <w:rPr>
                <w:rFonts w:ascii="Calibri" w:hAnsi="Calibri"/>
                <w:b/>
                <w:color w:val="30A46C"/>
                <w:sz w:val="22"/>
              </w:rPr>
              <w:t>+0.8% (Beat)</w:t>
            </w:r>
          </w:p>
        </w:tc>
        <w:tc>
          <w:tcPr>
            <w:tcW w:type="dxa" w:w="1234"/>
          </w:tcPr>
          <w:p>
            <w:r>
              <w:rPr>
                <w:rFonts w:ascii="Calibri" w:hAnsi="Calibri"/>
                <w:sz w:val="22"/>
              </w:rPr>
              <w:t>+2.5%</w:t>
            </w:r>
          </w:p>
        </w:tc>
        <w:tc>
          <w:tcPr>
            <w:tcW w:type="dxa" w:w="1234"/>
          </w:tcPr>
          <w:p>
            <w:r>
              <w:rPr>
                <w:rFonts w:ascii="Calibri" w:hAnsi="Calibri"/>
                <w:sz w:val="22"/>
              </w:rPr>
              <w:t>+2.0%</w:t>
            </w:r>
          </w:p>
        </w:tc>
        <w:tc>
          <w:tcPr>
            <w:tcW w:type="dxa" w:w="1234"/>
          </w:tcPr>
          <w:p>
            <w:r>
              <w:rPr>
                <w:rFonts w:ascii="Calibri" w:hAnsi="Calibri"/>
                <w:b/>
                <w:color w:val="30A46C"/>
                <w:sz w:val="22"/>
              </w:rPr>
              <w:t>+50 bps (Beat)</w:t>
            </w:r>
          </w:p>
        </w:tc>
      </w:tr>
      <w:tr>
        <w:tc>
          <w:tcPr>
            <w:tcW w:type="dxa" w:w="1234"/>
          </w:tcPr>
          <w:p>
            <w:r>
              <w:rPr>
                <w:rFonts w:ascii="Calibri" w:hAnsi="Calibri"/>
                <w:sz w:val="22"/>
              </w:rPr>
              <w:t>Q1 2025</w:t>
            </w:r>
          </w:p>
        </w:tc>
        <w:tc>
          <w:tcPr>
            <w:tcW w:type="dxa" w:w="1234"/>
          </w:tcPr>
          <w:p>
            <w:r>
              <w:rPr>
                <w:rFonts w:ascii="Calibri" w:hAnsi="Calibri"/>
                <w:sz w:val="22"/>
              </w:rPr>
              <w:t>$0.48</w:t>
            </w:r>
          </w:p>
        </w:tc>
        <w:tc>
          <w:tcPr>
            <w:tcW w:type="dxa" w:w="1234"/>
          </w:tcPr>
          <w:p>
            <w:r>
              <w:rPr>
                <w:rFonts w:ascii="Calibri" w:hAnsi="Calibri"/>
                <w:sz w:val="22"/>
              </w:rPr>
              <w:t>$0.473</w:t>
            </w:r>
          </w:p>
        </w:tc>
        <w:tc>
          <w:tcPr>
            <w:tcW w:type="dxa" w:w="1234"/>
          </w:tcPr>
          <w:p>
            <w:r>
              <w:rPr>
                <w:rFonts w:ascii="Calibri" w:hAnsi="Calibri"/>
                <w:b/>
                <w:color w:val="30A46C"/>
                <w:sz w:val="22"/>
              </w:rPr>
              <w:t>+1.5% (Beat)</w:t>
            </w:r>
          </w:p>
        </w:tc>
        <w:tc>
          <w:tcPr>
            <w:tcW w:type="dxa" w:w="1234"/>
          </w:tcPr>
          <w:p>
            <w:r>
              <w:rPr>
                <w:rFonts w:ascii="Calibri" w:hAnsi="Calibri"/>
                <w:sz w:val="22"/>
              </w:rPr>
              <w:t>+3.7%</w:t>
            </w:r>
          </w:p>
        </w:tc>
        <w:tc>
          <w:tcPr>
            <w:tcW w:type="dxa" w:w="1234"/>
          </w:tcPr>
          <w:p>
            <w:r>
              <w:rPr>
                <w:rFonts w:ascii="Calibri" w:hAnsi="Calibri"/>
                <w:sz w:val="22"/>
              </w:rPr>
              <w:t>+1.9%</w:t>
            </w:r>
          </w:p>
        </w:tc>
        <w:tc>
          <w:tcPr>
            <w:tcW w:type="dxa" w:w="1234"/>
          </w:tcPr>
          <w:p>
            <w:r>
              <w:rPr>
                <w:rFonts w:ascii="Calibri" w:hAnsi="Calibri"/>
                <w:b/>
                <w:color w:val="30A46C"/>
                <w:sz w:val="22"/>
              </w:rPr>
              <w:t>+180 bps (Beat)</w:t>
            </w:r>
          </w:p>
        </w:tc>
      </w:tr>
      <w:tr>
        <w:tc>
          <w:tcPr>
            <w:tcW w:type="dxa" w:w="1234"/>
          </w:tcPr>
          <w:p>
            <w:r>
              <w:rPr>
                <w:rFonts w:ascii="Calibri" w:hAnsi="Calibri"/>
                <w:sz w:val="22"/>
              </w:rPr>
              <w:t>Q4 2024</w:t>
            </w:r>
          </w:p>
        </w:tc>
        <w:tc>
          <w:tcPr>
            <w:tcW w:type="dxa" w:w="1234"/>
          </w:tcPr>
          <w:p>
            <w:r>
              <w:rPr>
                <w:rFonts w:ascii="Calibri" w:hAnsi="Calibri"/>
                <w:sz w:val="22"/>
              </w:rPr>
              <w:t>$0.47</w:t>
            </w:r>
          </w:p>
        </w:tc>
        <w:tc>
          <w:tcPr>
            <w:tcW w:type="dxa" w:w="1234"/>
          </w:tcPr>
          <w:p>
            <w:r>
              <w:rPr>
                <w:rFonts w:ascii="Calibri" w:hAnsi="Calibri"/>
                <w:sz w:val="22"/>
              </w:rPr>
              <w:t>$0.473</w:t>
            </w:r>
          </w:p>
        </w:tc>
        <w:tc>
          <w:tcPr>
            <w:tcW w:type="dxa" w:w="1234"/>
          </w:tcPr>
          <w:p>
            <w:r>
              <w:rPr>
                <w:rFonts w:ascii="Calibri" w:hAnsi="Calibri"/>
                <w:b/>
                <w:color w:val="E5484D"/>
                <w:sz w:val="22"/>
              </w:rPr>
              <w:t>-0.6% (Miss)</w:t>
            </w:r>
          </w:p>
        </w:tc>
        <w:tc>
          <w:tcPr>
            <w:tcW w:type="dxa" w:w="1234"/>
          </w:tcPr>
          <w:p>
            <w:r>
              <w:rPr>
                <w:rFonts w:ascii="Calibri" w:hAnsi="Calibri"/>
                <w:sz w:val="22"/>
              </w:rPr>
              <w:t>+4.7%</w:t>
            </w:r>
          </w:p>
        </w:tc>
        <w:tc>
          <w:tcPr>
            <w:tcW w:type="dxa" w:w="1234"/>
          </w:tcPr>
          <w:p>
            <w:r>
              <w:rPr>
                <w:rFonts w:ascii="Calibri" w:hAnsi="Calibri"/>
                <w:sz w:val="22"/>
              </w:rPr>
              <w:t>+4.7%</w:t>
            </w:r>
          </w:p>
        </w:tc>
        <w:tc>
          <w:tcPr>
            <w:tcW w:type="dxa" w:w="1234"/>
          </w:tcPr>
          <w:p>
            <w:r>
              <w:rPr>
                <w:rFonts w:ascii="Calibri" w:hAnsi="Calibri"/>
                <w:sz w:val="22"/>
              </w:rPr>
              <w:t>0 bps (In-Line)</w:t>
            </w:r>
          </w:p>
        </w:tc>
      </w:tr>
      <w:tr>
        <w:tc>
          <w:tcPr>
            <w:tcW w:type="dxa" w:w="1234"/>
          </w:tcPr>
          <w:p>
            <w:r>
              <w:rPr>
                <w:rFonts w:ascii="Calibri" w:hAnsi="Calibri"/>
                <w:sz w:val="22"/>
              </w:rPr>
              <w:t>Q3 2024</w:t>
            </w:r>
          </w:p>
        </w:tc>
        <w:tc>
          <w:tcPr>
            <w:tcW w:type="dxa" w:w="1234"/>
          </w:tcPr>
          <w:p>
            <w:r>
              <w:rPr>
                <w:rFonts w:ascii="Calibri" w:hAnsi="Calibri"/>
                <w:sz w:val="22"/>
              </w:rPr>
              <w:t>$0.47</w:t>
            </w:r>
          </w:p>
        </w:tc>
        <w:tc>
          <w:tcPr>
            <w:tcW w:type="dxa" w:w="1234"/>
          </w:tcPr>
          <w:p>
            <w:r>
              <w:rPr>
                <w:rFonts w:ascii="Calibri" w:hAnsi="Calibri"/>
                <w:sz w:val="22"/>
              </w:rPr>
              <w:t>$0.462</w:t>
            </w:r>
          </w:p>
        </w:tc>
        <w:tc>
          <w:tcPr>
            <w:tcW w:type="dxa" w:w="1234"/>
          </w:tcPr>
          <w:p>
            <w:r>
              <w:rPr>
                <w:rFonts w:ascii="Calibri" w:hAnsi="Calibri"/>
                <w:b/>
                <w:color w:val="30A46C"/>
                <w:sz w:val="22"/>
              </w:rPr>
              <w:t>+1.7% (Beat)</w:t>
            </w:r>
          </w:p>
        </w:tc>
        <w:tc>
          <w:tcPr>
            <w:tcW w:type="dxa" w:w="1234"/>
          </w:tcPr>
          <w:p>
            <w:r>
              <w:rPr>
                <w:rFonts w:ascii="Calibri" w:hAnsi="Calibri"/>
                <w:sz w:val="22"/>
              </w:rPr>
              <w:t>+3.9%</w:t>
            </w:r>
          </w:p>
        </w:tc>
        <w:tc>
          <w:tcPr>
            <w:tcW w:type="dxa" w:w="1234"/>
          </w:tcPr>
          <w:p>
            <w:r>
              <w:rPr>
                <w:rFonts w:ascii="Calibri" w:hAnsi="Calibri"/>
                <w:sz w:val="22"/>
              </w:rPr>
              <w:t>+4.3%</w:t>
            </w:r>
          </w:p>
        </w:tc>
        <w:tc>
          <w:tcPr>
            <w:tcW w:type="dxa" w:w="1234"/>
          </w:tcPr>
          <w:p>
            <w:r>
              <w:rPr>
                <w:rFonts w:ascii="Calibri" w:hAnsi="Calibri"/>
                <w:b/>
                <w:color w:val="E5484D"/>
                <w:sz w:val="22"/>
              </w:rPr>
              <w:t>-40 bps (Miss)</w:t>
            </w:r>
          </w:p>
        </w:tc>
      </w:tr>
      <w:tr>
        <w:tc>
          <w:tcPr>
            <w:tcW w:type="dxa" w:w="1234"/>
          </w:tcPr>
          <w:p>
            <w:r>
              <w:rPr>
                <w:rFonts w:ascii="Calibri" w:hAnsi="Calibri"/>
                <w:sz w:val="22"/>
              </w:rPr>
              <w:t>Q2 2024</w:t>
            </w:r>
          </w:p>
        </w:tc>
        <w:tc>
          <w:tcPr>
            <w:tcW w:type="dxa" w:w="1234"/>
          </w:tcPr>
          <w:p>
            <w:r>
              <w:rPr>
                <w:rFonts w:ascii="Calibri" w:hAnsi="Calibri"/>
                <w:sz w:val="22"/>
              </w:rPr>
              <w:t>$0.48</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Core FFO has been remarkably stable, printing at $0.47–$0.48 for seven consecutive quarters with minimal surprise in either direction; the more volatile KPI is same-store NOI growth, where INVH has consistently missed consensus over the past three quarters as supply headwinds and occupancy normalization weighed on results — making Q2 2026 the first real test of whether the inflection management signaled in April is materializing.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(April 29–30, 2026) — management deliberately held the full-year range intact, citing early-year caution and a desire to see peak leasing season play out. The tone, however, has shifted from neutral to cautiously optimistic, with April/May leasing data providing the first concrete evidence that the inflection is underway.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 Jul 28, 2026)</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 FY 2026</w:t>
            </w:r>
          </w:p>
        </w:tc>
        <w:tc>
          <w:tcPr>
            <w:tcW w:type="dxa" w:w="1728"/>
          </w:tcPr>
          <w:p>
            <w:r>
              <w:rPr>
                <w:rFonts w:ascii="Calibri" w:hAnsi="Calibri"/>
                <w:sz w:val="22"/>
              </w:rPr>
              <w:t>$1.90–$1.98 (mid: $1.94)</w:t>
            </w:r>
          </w:p>
        </w:tc>
        <w:tc>
          <w:tcPr>
            <w:tcW w:type="dxa" w:w="1728"/>
          </w:tcPr>
          <w:p>
            <w:r>
              <w:rPr>
                <w:rFonts w:ascii="Calibri" w:hAnsi="Calibri"/>
                <w:sz w:val="22"/>
              </w:rPr>
              <w:t>Unchanged</w:t>
            </w:r>
          </w:p>
        </w:tc>
        <w:tc>
          <w:tcPr>
            <w:tcW w:type="dxa" w:w="1728"/>
          </w:tcPr>
          <w:p>
            <w:r>
              <w:rPr>
                <w:rFonts w:ascii="Calibri" w:hAnsi="Calibri"/>
                <w:sz w:val="22"/>
              </w:rPr>
              <w:t>$1.946</w:t>
            </w:r>
          </w:p>
        </w:tc>
        <w:tc>
          <w:tcPr>
            <w:tcW w:type="dxa" w:w="1728"/>
          </w:tcPr>
          <w:p>
            <w:r>
              <w:rPr>
                <w:rFonts w:ascii="Calibri" w:hAnsi="Calibri"/>
                <w:sz w:val="22"/>
              </w:rPr>
              <w:t>Guidance maintained; consensus sits at midpoint. No post-earnings revision event.</w:t>
            </w:r>
          </w:p>
        </w:tc>
      </w:tr>
      <w:tr>
        <w:tc>
          <w:tcPr>
            <w:tcW w:type="dxa" w:w="1728"/>
          </w:tcPr>
          <w:p>
            <w:r>
              <w:rPr>
                <w:rFonts w:ascii="Calibri" w:hAnsi="Calibri"/>
                <w:sz w:val="22"/>
              </w:rPr>
              <w:t>AFFO per Share — FY 2026</w:t>
            </w:r>
          </w:p>
        </w:tc>
        <w:tc>
          <w:tcPr>
            <w:tcW w:type="dxa" w:w="1728"/>
          </w:tcPr>
          <w:p>
            <w:r>
              <w:rPr>
                <w:rFonts w:ascii="Calibri" w:hAnsi="Calibri"/>
                <w:sz w:val="22"/>
              </w:rPr>
              <w:t>$1.60–$1.68 (mid: $1.64)</w:t>
            </w:r>
          </w:p>
        </w:tc>
        <w:tc>
          <w:tcPr>
            <w:tcW w:type="dxa" w:w="1728"/>
          </w:tcPr>
          <w:p>
            <w:r>
              <w:rPr>
                <w:rFonts w:ascii="Calibri" w:hAnsi="Calibri"/>
                <w:sz w:val="22"/>
              </w:rPr>
              <w:t>Unchanged</w:t>
            </w:r>
          </w:p>
        </w:tc>
        <w:tc>
          <w:tcPr>
            <w:tcW w:type="dxa" w:w="1728"/>
          </w:tcPr>
          <w:p>
            <w:r>
              <w:rPr>
                <w:rFonts w:ascii="Calibri" w:hAnsi="Calibri"/>
                <w:sz w:val="22"/>
              </w:rPr>
              <w:t>$1.645</w:t>
            </w:r>
          </w:p>
        </w:tc>
        <w:tc>
          <w:tcPr>
            <w:tcW w:type="dxa" w:w="1728"/>
          </w:tcPr>
          <w:p>
            <w:r>
              <w:rPr>
                <w:rFonts w:ascii="Calibri" w:hAnsi="Calibri"/>
                <w:sz w:val="22"/>
              </w:rPr>
              <w:t>Guidance maintained; consensus at midpoint.</w:t>
            </w:r>
          </w:p>
        </w:tc>
      </w:tr>
      <w:tr>
        <w:tc>
          <w:tcPr>
            <w:tcW w:type="dxa" w:w="1728"/>
          </w:tcPr>
          <w:p>
            <w:r>
              <w:rPr>
                <w:rFonts w:ascii="Calibri" w:hAnsi="Calibri"/>
                <w:sz w:val="22"/>
              </w:rPr>
              <w:t>Same-Store NOI Growth — FY 2026</w:t>
            </w:r>
          </w:p>
        </w:tc>
        <w:tc>
          <w:tcPr>
            <w:tcW w:type="dxa" w:w="1728"/>
          </w:tcPr>
          <w:p>
            <w:r>
              <w:rPr>
                <w:rFonts w:ascii="Calibri" w:hAnsi="Calibri"/>
                <w:sz w:val="22"/>
              </w:rPr>
              <w:t>0.3%–2.0% (mid: 1.15%)</w:t>
            </w:r>
          </w:p>
        </w:tc>
        <w:tc>
          <w:tcPr>
            <w:tcW w:type="dxa" w:w="1728"/>
          </w:tcPr>
          <w:p>
            <w:r>
              <w:rPr>
                <w:rFonts w:ascii="Calibri" w:hAnsi="Calibri"/>
                <w:sz w:val="22"/>
              </w:rPr>
              <w:t>Unchanged</w:t>
            </w:r>
          </w:p>
        </w:tc>
        <w:tc>
          <w:tcPr>
            <w:tcW w:type="dxa" w:w="1728"/>
          </w:tcPr>
          <w:p>
            <w:r>
              <w:rPr>
                <w:rFonts w:ascii="Calibri" w:hAnsi="Calibri"/>
                <w:sz w:val="22"/>
              </w:rPr>
              <w:t>~1.1%</w:t>
            </w:r>
          </w:p>
        </w:tc>
        <w:tc>
          <w:tcPr>
            <w:tcW w:type="dxa" w:w="1728"/>
          </w:tcPr>
          <w:p>
            <w:r>
              <w:rPr>
                <w:rFonts w:ascii="Calibri" w:hAnsi="Calibri"/>
                <w:sz w:val="22"/>
              </w:rPr>
              <w:t>Consensus near midpoint; upside risk if Q2 blended rent growth beats and expenses moderate.</w:t>
            </w:r>
          </w:p>
        </w:tc>
      </w:tr>
      <w:tr>
        <w:tc>
          <w:tcPr>
            <w:tcW w:type="dxa" w:w="1728"/>
          </w:tcPr>
          <w:p>
            <w:r>
              <w:rPr>
                <w:rFonts w:ascii="Calibri" w:hAnsi="Calibri"/>
                <w:sz w:val="22"/>
              </w:rPr>
              <w:t>Same-Store Revenue Growth — FY 2026</w:t>
            </w:r>
          </w:p>
        </w:tc>
        <w:tc>
          <w:tcPr>
            <w:tcW w:type="dxa" w:w="1728"/>
          </w:tcPr>
          <w:p>
            <w:r>
              <w:rPr>
                <w:rFonts w:ascii="Calibri" w:hAnsi="Calibri"/>
                <w:sz w:val="22"/>
              </w:rPr>
              <w:t>1.3%–2.5% (mid: 1.9%)</w:t>
            </w:r>
          </w:p>
        </w:tc>
        <w:tc>
          <w:tcPr>
            <w:tcW w:type="dxa" w:w="1728"/>
          </w:tcPr>
          <w:p>
            <w:r>
              <w:rPr>
                <w:rFonts w:ascii="Calibri" w:hAnsi="Calibri"/>
                <w:sz w:val="22"/>
              </w:rPr>
              <w:t>Unchanged</w:t>
            </w:r>
          </w:p>
        </w:tc>
        <w:tc>
          <w:tcPr>
            <w:tcW w:type="dxa" w:w="1728"/>
          </w:tcPr>
          <w:p>
            <w:r>
              <w:rPr>
                <w:rFonts w:ascii="Calibri" w:hAnsi="Calibri"/>
                <w:sz w:val="22"/>
              </w:rPr>
              <w:t>N/A — not separately tracked in VA</w:t>
            </w:r>
          </w:p>
        </w:tc>
        <w:tc>
          <w:tcPr>
            <w:tcW w:type="dxa" w:w="1728"/>
          </w:tcPr>
          <w:p>
            <w:r>
              <w:rPr>
                <w:rFonts w:ascii="Calibri" w:hAnsi="Calibri"/>
                <w:sz w:val="22"/>
              </w:rPr>
              <w:t>Assumes FY avg. occupancy 96.0%–96.6% and bad debt 60–80 bps.</w:t>
            </w:r>
          </w:p>
        </w:tc>
      </w:tr>
      <w:tr>
        <w:tc>
          <w:tcPr>
            <w:tcW w:type="dxa" w:w="1728"/>
          </w:tcPr>
          <w:p>
            <w:r>
              <w:rPr>
                <w:rFonts w:ascii="Calibri" w:hAnsi="Calibri"/>
                <w:sz w:val="22"/>
              </w:rPr>
              <w:t>Same-Store Expense Growth — FY 2026</w:t>
            </w:r>
          </w:p>
        </w:tc>
        <w:tc>
          <w:tcPr>
            <w:tcW w:type="dxa" w:w="1728"/>
          </w:tcPr>
          <w:p>
            <w:r>
              <w:rPr>
                <w:rFonts w:ascii="Calibri" w:hAnsi="Calibri"/>
                <w:sz w:val="22"/>
              </w:rPr>
              <w:t>3.0%–4.0% (mid: 3.5%)</w:t>
            </w:r>
          </w:p>
        </w:tc>
        <w:tc>
          <w:tcPr>
            <w:tcW w:type="dxa" w:w="1728"/>
          </w:tcPr>
          <w:p>
            <w:r>
              <w:rPr>
                <w:rFonts w:ascii="Calibri" w:hAnsi="Calibri"/>
                <w:sz w:val="22"/>
              </w:rPr>
              <w:t>Unchanged</w:t>
            </w:r>
          </w:p>
        </w:tc>
        <w:tc>
          <w:tcPr>
            <w:tcW w:type="dxa" w:w="1728"/>
          </w:tcPr>
          <w:p>
            <w:r>
              <w:rPr>
                <w:rFonts w:ascii="Calibri" w:hAnsi="Calibri"/>
                <w:sz w:val="22"/>
              </w:rPr>
              <w:t>N/A — not separately tracked in VA</w:t>
            </w:r>
          </w:p>
        </w:tc>
        <w:tc>
          <w:tcPr>
            <w:tcW w:type="dxa" w:w="1728"/>
          </w:tcPr>
          <w:p>
            <w:r>
              <w:rPr>
                <w:rFonts w:ascii="Calibri" w:hAnsi="Calibri"/>
                <w:sz w:val="22"/>
              </w:rPr>
              <w:t>Q1 came in at 5.7% YoY due to timing; management expects normalization through the year.</w:t>
            </w:r>
          </w:p>
        </w:tc>
      </w:tr>
      <w:tr>
        <w:tc>
          <w:tcPr>
            <w:tcW w:type="dxa" w:w="1728"/>
          </w:tcPr>
          <w:p>
            <w:r>
              <w:rPr>
                <w:rFonts w:ascii="Calibri" w:hAnsi="Calibri"/>
                <w:sz w:val="22"/>
              </w:rPr>
              <w:t>Wholly Owned Dispositions — FY 2026</w:t>
            </w:r>
          </w:p>
        </w:tc>
        <w:tc>
          <w:tcPr>
            <w:tcW w:type="dxa" w:w="1728"/>
          </w:tcPr>
          <w:p>
            <w:r>
              <w:rPr>
                <w:rFonts w:ascii="Calibri" w:hAnsi="Calibri"/>
                <w:sz w:val="22"/>
              </w:rPr>
              <w:t>$450–$650M (mid: $550M)</w:t>
            </w:r>
          </w:p>
        </w:tc>
        <w:tc>
          <w:tcPr>
            <w:tcW w:type="dxa" w:w="1728"/>
          </w:tcPr>
          <w:p>
            <w:r>
              <w:rPr>
                <w:rFonts w:ascii="Calibri" w:hAnsi="Calibri"/>
                <w:sz w:val="22"/>
              </w:rPr>
              <w:t>Unchanged (tracking ahead)</w:t>
            </w:r>
          </w:p>
        </w:tc>
        <w:tc>
          <w:tcPr>
            <w:tcW w:type="dxa" w:w="1728"/>
          </w:tcPr>
          <w:p>
            <w:r>
              <w:rPr>
                <w:rFonts w:ascii="Calibri" w:hAnsi="Calibri"/>
                <w:sz w:val="22"/>
              </w:rPr>
              <w:t>N/A</w:t>
            </w:r>
          </w:p>
        </w:tc>
        <w:tc>
          <w:tcPr>
            <w:tcW w:type="dxa" w:w="1728"/>
          </w:tcPr>
          <w:p>
            <w:r>
              <w:rPr>
                <w:rFonts w:ascii="Calibri" w:hAnsi="Calibri"/>
                <w:sz w:val="22"/>
              </w:rPr>
              <w:t>Q1 dispositions of $206M were well ahead of expectations; Q2 tracking at similar pace per management.</w:t>
            </w:r>
          </w:p>
        </w:tc>
      </w:tr>
      <w:tr>
        <w:tc>
          <w:tcPr>
            <w:tcW w:type="dxa" w:w="1728"/>
          </w:tcPr>
          <w:p>
            <w:r>
              <w:rPr>
                <w:rFonts w:ascii="Calibri" w:hAnsi="Calibri"/>
                <w:sz w:val="22"/>
              </w:rPr>
              <w:t>Share Repurchase Authorization</w:t>
            </w:r>
          </w:p>
        </w:tc>
        <w:tc>
          <w:tcPr>
            <w:tcW w:type="dxa" w:w="1728"/>
          </w:tcPr>
          <w:p>
            <w:r>
              <w:rPr>
                <w:rFonts w:ascii="Calibri" w:hAnsi="Calibri"/>
                <w:sz w:val="22"/>
              </w:rPr>
              <w:t>New $500M authorization approved Apr 27, 2026</w:t>
            </w:r>
          </w:p>
        </w:tc>
        <w:tc>
          <w:tcPr>
            <w:tcW w:type="dxa" w:w="1728"/>
          </w:tcPr>
          <w:p>
            <w:r>
              <w:rPr>
                <w:rFonts w:ascii="Calibri" w:hAnsi="Calibri"/>
                <w:sz w:val="22"/>
              </w:rPr>
              <w:t>N/A (new program)</w:t>
            </w:r>
          </w:p>
        </w:tc>
        <w:tc>
          <w:tcPr>
            <w:tcW w:type="dxa" w:w="1728"/>
          </w:tcPr>
          <w:p>
            <w:r>
              <w:rPr>
                <w:rFonts w:ascii="Calibri" w:hAnsi="Calibri"/>
                <w:sz w:val="22"/>
              </w:rPr>
              <w:t>N/A</w:t>
            </w:r>
          </w:p>
        </w:tc>
        <w:tc>
          <w:tcPr>
            <w:tcW w:type="dxa" w:w="1728"/>
          </w:tcPr>
          <w:p>
            <w:r>
              <w:rPr>
                <w:rFonts w:ascii="Calibri" w:hAnsi="Calibri"/>
                <w:sz w:val="22"/>
              </w:rPr>
              <w:t>↑ New $500M buyback authorized Apr 27, 2026 (board action concurrent with Q1 earnings); prior $500M fully utilized.</w:t>
            </w:r>
          </w:p>
        </w:tc>
      </w:tr>
    </w:tbl>
    <w:p>
      <w:r>
        <w:rPr>
          <w:rFonts w:ascii="Calibri" w:hAnsi="Calibri"/>
          <w:color w:val="525866"/>
          <w:sz w:val="22"/>
        </w:rPr>
        <w:t>Management tone on the Q1 2026 call was notably more optimistic than the Q4 2025 call: CEO Dallas Tanner stated “Occupancy is climbing, new lease rent growth turned positive in April, and our residents continue to stay longer,” and the company highlighted that April blended rent growth of 2.3% represented a 230 bps acceleration from March. The decision not to raise guidance was explicitly framed as prudent caution (“not seeing anything that would cause us to revise guidance at this point”) rather than a signal of concern — setting up Q2 as the first real opportunity to raise the full-year range if peak leasing season delivers.</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Core FFO have drifted slightly higher since last earnings (from $0.483 to $0.489), while full-year estimates are essentially flat — the Street is not aggressively pricing in the improving leasing data, which leaves room for a positive surprise if management raises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(c.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FFO/Share — Q2 2026</w:t>
            </w:r>
          </w:p>
        </w:tc>
        <w:tc>
          <w:tcPr>
            <w:tcW w:type="dxa" w:w="1080"/>
          </w:tcPr>
          <w:p>
            <w:r>
              <w:rPr>
                <w:rFonts w:ascii="Calibri" w:hAnsi="Calibri"/>
                <w:sz w:val="22"/>
              </w:rPr>
              <w:t>$0.483</w:t>
            </w:r>
          </w:p>
        </w:tc>
        <w:tc>
          <w:tcPr>
            <w:tcW w:type="dxa" w:w="1080"/>
          </w:tcPr>
          <w:p>
            <w:r>
              <w:rPr>
                <w:rFonts w:ascii="Calibri" w:hAnsi="Calibri"/>
                <w:sz w:val="22"/>
              </w:rPr>
              <w:t>$0.489</w:t>
            </w:r>
          </w:p>
        </w:tc>
        <w:tc>
          <w:tcPr>
            <w:tcW w:type="dxa" w:w="1080"/>
          </w:tcPr>
          <w:p>
            <w:r>
              <w:rPr>
                <w:rFonts w:ascii="Calibri" w:hAnsi="Calibri"/>
                <w:b/>
                <w:color w:val="30A46C"/>
                <w:sz w:val="22"/>
              </w:rPr>
              <w:t>+1.2%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 FY 2026</w:t>
            </w:r>
          </w:p>
        </w:tc>
        <w:tc>
          <w:tcPr>
            <w:tcW w:type="dxa" w:w="1080"/>
          </w:tcPr>
          <w:p>
            <w:r>
              <w:rPr>
                <w:rFonts w:ascii="Calibri" w:hAnsi="Calibri"/>
                <w:sz w:val="22"/>
              </w:rPr>
              <w:t>$1.936</w:t>
            </w:r>
          </w:p>
        </w:tc>
        <w:tc>
          <w:tcPr>
            <w:tcW w:type="dxa" w:w="1080"/>
          </w:tcPr>
          <w:p>
            <w:r>
              <w:rPr>
                <w:rFonts w:ascii="Calibri" w:hAnsi="Calibri"/>
                <w:sz w:val="22"/>
              </w:rPr>
              <w:t>$1.946</w:t>
            </w:r>
          </w:p>
        </w:tc>
        <w:tc>
          <w:tcPr>
            <w:tcW w:type="dxa" w:w="1080"/>
          </w:tcPr>
          <w:p>
            <w:r>
              <w:rPr>
                <w:rFonts w:ascii="Calibri" w:hAnsi="Calibri"/>
                <w:b/>
                <w:color w:val="30A46C"/>
                <w:sz w:val="22"/>
              </w:rPr>
              <w:t>+0.5%</w:t>
            </w:r>
          </w:p>
        </w:tc>
        <w:tc>
          <w:tcPr>
            <w:tcW w:type="dxa" w:w="1080"/>
          </w:tcPr>
          <w:p>
            <w:r>
              <w:rPr>
                <w:rFonts w:ascii="Calibri" w:hAnsi="Calibri"/>
                <w:sz w:val="22"/>
              </w:rPr>
              <w:t>$1.90–$1.98 (mid: $1.94)</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+0.3% above midpoint</w:t>
            </w:r>
          </w:p>
        </w:tc>
      </w:tr>
      <w:tr>
        <w:tc>
          <w:tcPr>
            <w:tcW w:type="dxa" w:w="1080"/>
          </w:tcPr>
          <w:p>
            <w:r>
              <w:rPr>
                <w:rFonts w:ascii="Calibri" w:hAnsi="Calibri"/>
                <w:sz w:val="22"/>
              </w:rPr>
              <w:t>AFFO/Share — Q2 2026</w:t>
            </w:r>
          </w:p>
        </w:tc>
        <w:tc>
          <w:tcPr>
            <w:tcW w:type="dxa" w:w="1080"/>
          </w:tcPr>
          <w:p>
            <w:r>
              <w:rPr>
                <w:rFonts w:ascii="Calibri" w:hAnsi="Calibri"/>
                <w:sz w:val="22"/>
              </w:rPr>
              <w:t>$0.407</w:t>
            </w:r>
          </w:p>
        </w:tc>
        <w:tc>
          <w:tcPr>
            <w:tcW w:type="dxa" w:w="1080"/>
          </w:tcPr>
          <w:p>
            <w:r>
              <w:rPr>
                <w:rFonts w:ascii="Calibri" w:hAnsi="Calibri"/>
                <w:sz w:val="22"/>
              </w:rPr>
              <w:t>$0.414</w:t>
            </w:r>
          </w:p>
        </w:tc>
        <w:tc>
          <w:tcPr>
            <w:tcW w:type="dxa" w:w="1080"/>
          </w:tcPr>
          <w:p>
            <w:r>
              <w:rPr>
                <w:rFonts w:ascii="Calibri" w:hAnsi="Calibri"/>
                <w:b/>
                <w:color w:val="30A46C"/>
                <w:sz w:val="22"/>
              </w:rPr>
              <w:t>+1.7%</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 FY 2026</w:t>
            </w:r>
          </w:p>
        </w:tc>
        <w:tc>
          <w:tcPr>
            <w:tcW w:type="dxa" w:w="1080"/>
          </w:tcPr>
          <w:p>
            <w:r>
              <w:rPr>
                <w:rFonts w:ascii="Calibri" w:hAnsi="Calibri"/>
                <w:sz w:val="22"/>
              </w:rPr>
              <w:t>$1.631</w:t>
            </w:r>
          </w:p>
        </w:tc>
        <w:tc>
          <w:tcPr>
            <w:tcW w:type="dxa" w:w="1080"/>
          </w:tcPr>
          <w:p>
            <w:r>
              <w:rPr>
                <w:rFonts w:ascii="Calibri" w:hAnsi="Calibri"/>
                <w:sz w:val="22"/>
              </w:rPr>
              <w:t>$1.645</w:t>
            </w:r>
          </w:p>
        </w:tc>
        <w:tc>
          <w:tcPr>
            <w:tcW w:type="dxa" w:w="1080"/>
          </w:tcPr>
          <w:p>
            <w:r>
              <w:rPr>
                <w:rFonts w:ascii="Calibri" w:hAnsi="Calibri"/>
                <w:b/>
                <w:color w:val="30A46C"/>
                <w:sz w:val="22"/>
              </w:rPr>
              <w:t>+0.9%</w:t>
            </w:r>
          </w:p>
        </w:tc>
        <w:tc>
          <w:tcPr>
            <w:tcW w:type="dxa" w:w="1080"/>
          </w:tcPr>
          <w:p>
            <w:r>
              <w:rPr>
                <w:rFonts w:ascii="Calibri" w:hAnsi="Calibri"/>
                <w:sz w:val="22"/>
              </w:rPr>
              <w:t>$1.60–$1.68 (mid: $1.64)</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+0.3% above midpoint</w:t>
            </w:r>
          </w:p>
        </w:tc>
      </w:tr>
      <w:tr>
        <w:tc>
          <w:tcPr>
            <w:tcW w:type="dxa" w:w="1080"/>
          </w:tcPr>
          <w:p>
            <w:r>
              <w:rPr>
                <w:rFonts w:ascii="Calibri" w:hAnsi="Calibri"/>
                <w:sz w:val="22"/>
              </w:rPr>
              <w:t>SS NOI Growth — Q2 2026</w:t>
            </w:r>
          </w:p>
        </w:tc>
        <w:tc>
          <w:tcPr>
            <w:tcW w:type="dxa" w:w="1080"/>
          </w:tcPr>
          <w:p>
            <w:r>
              <w:rPr>
                <w:rFonts w:ascii="Calibri" w:hAnsi="Calibri"/>
                <w:sz w:val="22"/>
              </w:rPr>
              <w:t>+1.0%</w:t>
            </w:r>
          </w:p>
        </w:tc>
        <w:tc>
          <w:tcPr>
            <w:tcW w:type="dxa" w:w="1080"/>
          </w:tcPr>
          <w:p>
            <w:r>
              <w:rPr>
                <w:rFonts w:ascii="Calibri" w:hAnsi="Calibri"/>
                <w:sz w:val="22"/>
              </w:rPr>
              <w:t>~+1.0%</w:t>
            </w:r>
          </w:p>
        </w:tc>
        <w:tc>
          <w:tcPr>
            <w:tcW w:type="dxa" w:w="1080"/>
          </w:tcPr>
          <w:p>
            <w:r>
              <w:rPr>
                <w:rFonts w:ascii="Calibri" w:hAnsi="Calibri"/>
                <w:sz w:val="22"/>
              </w:rPr>
              <w:t>~0%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NOI Growth — FY 2026</w:t>
            </w:r>
          </w:p>
        </w:tc>
        <w:tc>
          <w:tcPr>
            <w:tcW w:type="dxa" w:w="1080"/>
          </w:tcPr>
          <w:p>
            <w:r>
              <w:rPr>
                <w:rFonts w:ascii="Calibri" w:hAnsi="Calibri"/>
                <w:sz w:val="22"/>
              </w:rPr>
              <w:t>+0.6%</w:t>
            </w:r>
          </w:p>
        </w:tc>
        <w:tc>
          <w:tcPr>
            <w:tcW w:type="dxa" w:w="1080"/>
          </w:tcPr>
          <w:p>
            <w:r>
              <w:rPr>
                <w:rFonts w:ascii="Calibri" w:hAnsi="Calibri"/>
                <w:sz w:val="22"/>
              </w:rPr>
              <w:t>~+1.1%</w:t>
            </w:r>
          </w:p>
        </w:tc>
        <w:tc>
          <w:tcPr>
            <w:tcW w:type="dxa" w:w="1080"/>
          </w:tcPr>
          <w:p>
            <w:r>
              <w:rPr>
                <w:rFonts w:ascii="Calibri" w:hAnsi="Calibri"/>
                <w:b/>
                <w:color w:val="30A46C"/>
                <w:sz w:val="22"/>
              </w:rPr>
              <w:t>+83%</w:t>
            </w:r>
          </w:p>
        </w:tc>
        <w:tc>
          <w:tcPr>
            <w:tcW w:type="dxa" w:w="1080"/>
          </w:tcPr>
          <w:p>
            <w:r>
              <w:rPr>
                <w:rFonts w:ascii="Calibri" w:hAnsi="Calibri"/>
                <w:sz w:val="22"/>
              </w:rPr>
              <w:t>0.3%–2.0% (mid: 1.15%)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~-5 bps below midpoint</w:t>
            </w:r>
          </w:p>
        </w:tc>
      </w:tr>
    </w:tbl>
    <w:p>
      <w:r>
        <w:rPr>
          <w:rFonts w:ascii="Calibri" w:hAnsi="Calibri"/>
          <w:color w:val="525866"/>
          <w:sz w:val="22"/>
        </w:rPr>
        <w:t>The modest upward drift in Q2 and FY Core FFO estimates since last earnings (+1.2% and +0.5% respectively) reflects the market partially incorporating the positive April leasing data, but the magnitude of revision is small relative to the improvement in operating trends — suggesting the Street is waiting for confirmation before more aggressively revising higher. The FY 2026 SS NOI growth estimate has moved up meaningfully from the post-Q1 baseline (+0.6% to ~+1.1%), now sitting just below the guidance midpoint of 1.15%, which implies the market is pricing in a guidance-in-line outcome rather than a raise.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INVH has underperformed the residential REIT ETF (REZ) since last earnings (+7.1% vs. +11.3%), with the gap driven primarily by multiple expansion in the broader residential REIT sector rather than INVH-specific estimate revisions — suggesting the stock has room to re-rate if Q2 results confirm the leasing inflection.</w:t>
      </w:r>
    </w:p>
    <w:p>
      <w:r>
        <w:rPr>
          <w:rFonts w:ascii="Calibri" w:hAnsi="Calibri"/>
          <w:b/>
          <w:color w:val="525866"/>
          <w:sz w:val="22"/>
        </w:rPr>
        <w:t xml:space="preserve">Sector ETF used: </w:t>
      </w:r>
      <w:r>
        <w:rPr>
          <w:rFonts w:ascii="Calibri" w:hAnsi="Calibri"/>
          <w:color w:val="525866"/>
          <w:sz w:val="22"/>
        </w:rPr>
        <w:t>iShares Residential and Multisector Real Estate ETF (REZ) — the most appropriate sub-sector benchmark for INVH, as REZ holds residential REITs including SFR operators (INVH, AMH) and multifamily peers (AVB, EQR, ESS, UDR, MAA). Indexed to 100 at April 29,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INVH Price</w:t>
            </w:r>
          </w:p>
        </w:tc>
        <w:tc>
          <w:tcPr>
            <w:tcW w:type="dxa" w:w="1728"/>
            <w:shd w:val="clear" w:color="auto" w:fill="3B4259"/>
          </w:tcPr>
          <w:p>
            <w:r>
              <w:rPr>
                <w:rFonts w:ascii="Calibri" w:hAnsi="Calibri"/>
                <w:b/>
                <w:color w:val="FFFFFF"/>
                <w:sz w:val="22"/>
              </w:rPr>
              <w:t>INVH Indexed (base=100)</w:t>
            </w:r>
          </w:p>
        </w:tc>
        <w:tc>
          <w:tcPr>
            <w:tcW w:type="dxa" w:w="1728"/>
            <w:shd w:val="clear" w:color="auto" w:fill="3B4259"/>
          </w:tcPr>
          <w:p>
            <w:r>
              <w:rPr>
                <w:rFonts w:ascii="Calibri" w:hAnsi="Calibri"/>
                <w:b/>
                <w:color w:val="FFFFFF"/>
                <w:sz w:val="22"/>
              </w:rPr>
              <w:t>REZ Indexed (base=100)</w:t>
            </w:r>
          </w:p>
        </w:tc>
        <w:tc>
          <w:tcPr>
            <w:tcW w:type="dxa" w:w="1728"/>
            <w:shd w:val="clear" w:color="auto" w:fill="3B4259"/>
          </w:tcPr>
          <w:p>
            <w:r>
              <w:rPr>
                <w:rFonts w:ascii="Calibri" w:hAnsi="Calibri"/>
                <w:b/>
                <w:color w:val="FFFFFF"/>
                <w:sz w:val="22"/>
              </w:rPr>
              <w:t>SPY Indexed (base=100)</w:t>
            </w:r>
          </w:p>
        </w:tc>
      </w:tr>
      <w:tr>
        <w:tc>
          <w:tcPr>
            <w:tcW w:type="dxa" w:w="1728"/>
          </w:tcPr>
          <w:p>
            <w:r>
              <w:rPr>
                <w:rFonts w:ascii="Calibri" w:hAnsi="Calibri"/>
                <w:sz w:val="22"/>
              </w:rPr>
              <w:t>Apr 29, 2026 (Earnings Day)</w:t>
            </w:r>
          </w:p>
        </w:tc>
        <w:tc>
          <w:tcPr>
            <w:tcW w:type="dxa" w:w="1728"/>
          </w:tcPr>
          <w:p>
            <w:r>
              <w:rPr>
                <w:rFonts w:ascii="Calibri" w:hAnsi="Calibri"/>
                <w:sz w:val="22"/>
              </w:rPr>
              <w:t>$28.07</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29, 2026</w:t>
            </w:r>
          </w:p>
        </w:tc>
        <w:tc>
          <w:tcPr>
            <w:tcW w:type="dxa" w:w="1728"/>
          </w:tcPr>
          <w:p>
            <w:r>
              <w:rPr>
                <w:rFonts w:ascii="Calibri" w:hAnsi="Calibri"/>
                <w:sz w:val="22"/>
              </w:rPr>
              <w:t>$29.25</w:t>
            </w:r>
          </w:p>
        </w:tc>
        <w:tc>
          <w:tcPr>
            <w:tcW w:type="dxa" w:w="1728"/>
          </w:tcPr>
          <w:p>
            <w:r>
              <w:rPr>
                <w:rFonts w:ascii="Calibri" w:hAnsi="Calibri"/>
                <w:sz w:val="22"/>
              </w:rPr>
              <w:t>104.2</w:t>
            </w:r>
          </w:p>
        </w:tc>
        <w:tc>
          <w:tcPr>
            <w:tcW w:type="dxa" w:w="1728"/>
          </w:tcPr>
          <w:p>
            <w:r>
              <w:rPr>
                <w:rFonts w:ascii="Calibri" w:hAnsi="Calibri"/>
                <w:sz w:val="22"/>
              </w:rPr>
              <w:t>100.8</w:t>
            </w:r>
          </w:p>
        </w:tc>
        <w:tc>
          <w:tcPr>
            <w:tcW w:type="dxa" w:w="1728"/>
          </w:tcPr>
          <w:p>
            <w:r>
              <w:rPr>
                <w:rFonts w:ascii="Calibri" w:hAnsi="Calibri"/>
                <w:sz w:val="22"/>
              </w:rPr>
              <w:t>106.3</w:t>
            </w:r>
          </w:p>
        </w:tc>
      </w:tr>
      <w:tr>
        <w:tc>
          <w:tcPr>
            <w:tcW w:type="dxa" w:w="1728"/>
          </w:tcPr>
          <w:p>
            <w:r>
              <w:rPr>
                <w:rFonts w:ascii="Calibri" w:hAnsi="Calibri"/>
                <w:sz w:val="22"/>
              </w:rPr>
              <w:t>Jun 26, 2026 (Road to Housing Act enacted)</w:t>
            </w:r>
          </w:p>
        </w:tc>
        <w:tc>
          <w:tcPr>
            <w:tcW w:type="dxa" w:w="1728"/>
          </w:tcPr>
          <w:p>
            <w:r>
              <w:rPr>
                <w:rFonts w:ascii="Calibri" w:hAnsi="Calibri"/>
                <w:sz w:val="22"/>
              </w:rPr>
              <w:t>$30.46</w:t>
            </w:r>
          </w:p>
        </w:tc>
        <w:tc>
          <w:tcPr>
            <w:tcW w:type="dxa" w:w="1728"/>
          </w:tcPr>
          <w:p>
            <w:r>
              <w:rPr>
                <w:rFonts w:ascii="Calibri" w:hAnsi="Calibri"/>
                <w:sz w:val="22"/>
              </w:rPr>
              <w:t>108.5</w:t>
            </w:r>
          </w:p>
        </w:tc>
        <w:tc>
          <w:tcPr>
            <w:tcW w:type="dxa" w:w="1728"/>
          </w:tcPr>
          <w:p>
            <w:r>
              <w:rPr>
                <w:rFonts w:ascii="Calibri" w:hAnsi="Calibri"/>
                <w:sz w:val="22"/>
              </w:rPr>
              <w:t>106.8</w:t>
            </w:r>
          </w:p>
        </w:tc>
        <w:tc>
          <w:tcPr>
            <w:tcW w:type="dxa" w:w="1728"/>
          </w:tcPr>
          <w:p>
            <w:r>
              <w:rPr>
                <w:rFonts w:ascii="Calibri" w:hAnsi="Calibri"/>
                <w:sz w:val="22"/>
              </w:rPr>
              <w:t>102.4</w:t>
            </w:r>
          </w:p>
        </w:tc>
      </w:tr>
      <w:tr>
        <w:tc>
          <w:tcPr>
            <w:tcW w:type="dxa" w:w="1728"/>
          </w:tcPr>
          <w:p>
            <w:r>
              <w:rPr>
                <w:rFonts w:ascii="Calibri" w:hAnsi="Calibri"/>
                <w:sz w:val="22"/>
              </w:rPr>
              <w:t>Jul 8, 2026 (INVH $500M notes offering)</w:t>
            </w:r>
          </w:p>
        </w:tc>
        <w:tc>
          <w:tcPr>
            <w:tcW w:type="dxa" w:w="1728"/>
          </w:tcPr>
          <w:p>
            <w:r>
              <w:rPr>
                <w:rFonts w:ascii="Calibri" w:hAnsi="Calibri"/>
                <w:sz w:val="22"/>
              </w:rPr>
              <w:t>$29.63</w:t>
            </w:r>
          </w:p>
        </w:tc>
        <w:tc>
          <w:tcPr>
            <w:tcW w:type="dxa" w:w="1728"/>
          </w:tcPr>
          <w:p>
            <w:r>
              <w:rPr>
                <w:rFonts w:ascii="Calibri" w:hAnsi="Calibri"/>
                <w:sz w:val="22"/>
              </w:rPr>
              <w:t>105.6</w:t>
            </w:r>
          </w:p>
        </w:tc>
        <w:tc>
          <w:tcPr>
            <w:tcW w:type="dxa" w:w="1728"/>
          </w:tcPr>
          <w:p>
            <w:r>
              <w:rPr>
                <w:rFonts w:ascii="Calibri" w:hAnsi="Calibri"/>
                <w:sz w:val="22"/>
              </w:rPr>
              <w:t>107.4</w:t>
            </w:r>
          </w:p>
        </w:tc>
        <w:tc>
          <w:tcPr>
            <w:tcW w:type="dxa" w:w="1728"/>
          </w:tcPr>
          <w:p>
            <w:r>
              <w:rPr>
                <w:rFonts w:ascii="Calibri" w:hAnsi="Calibri"/>
                <w:sz w:val="22"/>
              </w:rPr>
              <w:t>104.8</w:t>
            </w:r>
          </w:p>
        </w:tc>
      </w:tr>
      <w:tr>
        <w:tc>
          <w:tcPr>
            <w:tcW w:type="dxa" w:w="1728"/>
          </w:tcPr>
          <w:p>
            <w:r>
              <w:rPr>
                <w:rFonts w:ascii="Calibri" w:hAnsi="Calibri"/>
                <w:sz w:val="22"/>
              </w:rPr>
              <w:t>Jul 28, 2026 (Day Before Earnings)</w:t>
            </w:r>
          </w:p>
        </w:tc>
        <w:tc>
          <w:tcPr>
            <w:tcW w:type="dxa" w:w="1728"/>
          </w:tcPr>
          <w:p>
            <w:r>
              <w:rPr>
                <w:rFonts w:ascii="Calibri" w:hAnsi="Calibri"/>
                <w:sz w:val="22"/>
              </w:rPr>
              <w:t>$29.63</w:t>
            </w:r>
          </w:p>
        </w:tc>
        <w:tc>
          <w:tcPr>
            <w:tcW w:type="dxa" w:w="1728"/>
          </w:tcPr>
          <w:p>
            <w:r>
              <w:rPr>
                <w:rFonts w:ascii="Calibri" w:hAnsi="Calibri"/>
                <w:sz w:val="22"/>
              </w:rPr>
              <w:t>105.6</w:t>
            </w:r>
          </w:p>
        </w:tc>
        <w:tc>
          <w:tcPr>
            <w:tcW w:type="dxa" w:w="1728"/>
          </w:tcPr>
          <w:p>
            <w:r>
              <w:rPr>
                <w:rFonts w:ascii="Calibri" w:hAnsi="Calibri"/>
                <w:sz w:val="22"/>
              </w:rPr>
              <w:t>111.0</w:t>
            </w:r>
          </w:p>
        </w:tc>
        <w:tc>
          <w:tcPr>
            <w:tcW w:type="dxa" w:w="1728"/>
          </w:tcPr>
          <w:p>
            <w:r>
              <w:rPr>
                <w:rFonts w:ascii="Calibri" w:hAnsi="Calibri"/>
                <w:sz w:val="22"/>
              </w:rPr>
              <w:t>103.9</w:t>
            </w:r>
          </w:p>
        </w:tc>
      </w:tr>
      <w:tr>
        <w:tc>
          <w:tcPr>
            <w:tcW w:type="dxa" w:w="1728"/>
          </w:tcPr>
          <w:p>
            <w:r>
              <w:rPr>
                <w:rFonts w:ascii="Calibri" w:hAnsi="Calibri"/>
                <w:b/>
                <w:sz w:val="22"/>
              </w:rPr>
              <w:t>Jul 29, 2026 (Earnings Day — latest available)</w:t>
            </w:r>
          </w:p>
        </w:tc>
        <w:tc>
          <w:tcPr>
            <w:tcW w:type="dxa" w:w="1728"/>
          </w:tcPr>
          <w:p>
            <w:r>
              <w:rPr>
                <w:rFonts w:ascii="Calibri" w:hAnsi="Calibri"/>
                <w:b/>
                <w:sz w:val="22"/>
              </w:rPr>
              <w:t>$30.05</w:t>
            </w:r>
          </w:p>
        </w:tc>
        <w:tc>
          <w:tcPr>
            <w:tcW w:type="dxa" w:w="1728"/>
          </w:tcPr>
          <w:p>
            <w:r>
              <w:rPr>
                <w:rFonts w:ascii="Calibri" w:hAnsi="Calibri"/>
                <w:b/>
                <w:sz w:val="22"/>
              </w:rPr>
              <w:t>107.1</w:t>
            </w:r>
          </w:p>
        </w:tc>
        <w:tc>
          <w:tcPr>
            <w:tcW w:type="dxa" w:w="1728"/>
          </w:tcPr>
          <w:p>
            <w:r>
              <w:rPr>
                <w:rFonts w:ascii="Calibri" w:hAnsi="Calibri"/>
                <w:b/>
                <w:sz w:val="22"/>
              </w:rPr>
              <w:t>111.3</w:t>
            </w:r>
          </w:p>
        </w:tc>
        <w:tc>
          <w:tcPr>
            <w:tcW w:type="dxa" w:w="1728"/>
          </w:tcPr>
          <w:p>
            <w:r>
              <w:rPr>
                <w:rFonts w:ascii="Calibri" w:hAnsi="Calibri"/>
                <w:b/>
                <w:sz w:val="22"/>
              </w:rPr>
              <w:t>104.1</w:t>
            </w:r>
          </w:p>
        </w:tc>
      </w:tr>
    </w:tbl>
    <w:p>
      <w:r>
        <w:rPr>
          <w:rFonts w:ascii="Calibri" w:hAnsi="Calibri"/>
          <w:b/>
          <w:color w:val="525866"/>
          <w:sz w:val="22"/>
        </w:rPr>
        <w:t xml:space="preserve">Performance Summary (Apr 29 → Jul 29, 2026): </w:t>
      </w:r>
      <w:r>
        <w:rPr>
          <w:rFonts w:ascii="Calibri" w:hAnsi="Calibri"/>
          <w:color w:val="525866"/>
          <w:sz w:val="22"/>
        </w:rPr>
        <w:t>INVH +7.1% | REZ +11.3% | SPY +4.1%. INVH has lagged the residential REIT ETF by approximately 420 basis points since last earnings, despite the improving leasing data. The underperformance is largely attributable to multiple dynamics: the broader residential REIT sector re-rated on improving apartment fundamentals (UDR, AVB, EQR all beat Q2 estimates and raised guidance), while INVH’s SFR-specific story — still working through supply normalization and occupancy recovery — has not yet received the same re-rating. The stock pulled back ~3% in early July following the $500M senior notes offering (July 6–8), before recovering. The 3-month EV/EBITDA multiple has expanded from ~15.99x to ~16.94x (+6%), suggesting the recovery is multiple-driven rather than estimate-driven. Source: Stock Price Data (Yahoo Finance); INVH Stock Performance Decomposition.</w:t>
      </w:r>
    </w:p>
    <w:p>
      <w:r>
        <w:rPr>
          <w:rFonts w:ascii="Calibri" w:hAnsi="Calibri"/>
          <w:b/>
          <w:color w:val="525866"/>
          <w:sz w:val="22"/>
        </w:rPr>
        <w:t xml:space="preserve">Material Events Marked: </w:t>
      </w:r>
      <w:r>
        <w:rPr>
          <w:rFonts w:ascii="Calibri" w:hAnsi="Calibri"/>
          <w:color w:val="525866"/>
          <w:sz w:val="22"/>
        </w:rPr>
        <w:t>(1) April 29–30, 2026: Q1 2026 earnings release and call — results in-line, guidance maintained, new $500M buyback authorized. (2) June 3, 2026: INVH participated in Nareit REITweek 2026 Investor Conference. (3) July 6–8, 2026: INVH Operating arm priced and closed $500M in 4.95% Senior Notes due 2032 (debt refinancing/extension). (4) July 15, 2026: Congress enacted the 21st Century ROAD to Housing Act — significant legislative development for the SFR sector.</w:t>
      </w:r>
    </w:p>
    <w:p>
      <w:r>
        <w:br w:type="page"/>
      </w:r>
    </w:p>
    <w:p>
      <w:pPr>
        <w:pStyle w:val="Heading2"/>
      </w:pPr>
      <w:r>
        <w:rPr>
          <w:rFonts w:ascii="Calibri" w:hAnsi="Calibri"/>
          <w:b/>
          <w:color w:val="3B4259"/>
          <w:sz w:val="28"/>
        </w:rPr>
        <w:t>6. Peer Commentaries — Current-Quarter Read-Through</w:t>
      </w:r>
    </w:p>
    <w:p>
      <w:r>
        <w:rPr>
          <w:rFonts w:ascii="Calibri" w:hAnsi="Calibri"/>
          <w:b/>
          <w:color w:val="525866"/>
          <w:sz w:val="22"/>
        </w:rPr>
        <w:t xml:space="preserve">Key Takeaway: </w:t>
      </w:r>
      <w:r>
        <w:rPr>
          <w:rFonts w:ascii="Calibri" w:hAnsi="Calibri"/>
          <w:color w:val="525866"/>
          <w:sz w:val="22"/>
        </w:rPr>
        <w:t>Peer commentary from the last 60 days is broadly constructive for INVH’s Q2 2026 print: SFR peer AMH (most direct read-through) reported accelerating occupancy and positive new lease rates through May; multifamily peers UDR and MAA both beat Q2 estimates and raised guidance on improving blended lease rates and lower expenses; and ESS highlighted West Coast supply abatement that benefits INVH’s California portfolio. The primary caveat is that Sunbelt multifamily markets (where INVH is concentrated) remain softer than coastal markets, though all peers noted sequential improvement.</w:t>
      </w:r>
    </w:p>
    <w:p>
      <w:r>
        <w:rPr>
          <w:rFonts w:ascii="Calibri" w:hAnsi="Calibri"/>
          <w:b/>
          <w:color w:val="525866"/>
          <w:sz w:val="22"/>
        </w:rPr>
        <w:t xml:space="preserve">Scope: </w:t>
      </w:r>
      <w:r>
        <w:rPr>
          <w:rFonts w:ascii="Calibri" w:hAnsi="Calibri"/>
          <w:color w:val="525866"/>
          <w:sz w:val="22"/>
        </w:rPr>
        <w:t>Only commentary made in the last 60 days (on or after May 29, 2026) that speaks to Q2 2026 current-quarter conditions or forward outlook is included below. Retrospective Q1 2025 or Q4 2025 commentary is excluded. Peers are explicitly categorized by asset class to distinguish read-through quality.</w:t>
      </w:r>
    </w:p>
    <w:p>
      <w:pPr>
        <w:pStyle w:val="Heading3"/>
      </w:pPr>
      <w:r>
        <w:rPr>
          <w:rFonts w:ascii="Calibri" w:hAnsi="Calibri"/>
          <w:b/>
          <w:color w:val="3B4259"/>
          <w:sz w:val="24"/>
        </w:rPr>
        <w:t>6A. AMH (American Homes 4 Rent) — SFR Peer [HIGHEST READ-THROUGH RELEVANCE]</w:t>
      </w:r>
    </w:p>
    <w:p>
      <w:r>
        <w:rPr>
          <w:rFonts w:ascii="Calibri" w:hAnsi="Calibri"/>
          <w:b/>
          <w:color w:val="525866"/>
          <w:sz w:val="22"/>
        </w:rPr>
        <w:t xml:space="preserve">Source: </w:t>
      </w:r>
      <w:r>
        <w:rPr>
          <w:rFonts w:ascii="Calibri" w:hAnsi="Calibri"/>
          <w:color w:val="525866"/>
          <w:sz w:val="22"/>
        </w:rPr>
        <w:t>AMH Nareit REITweek Investor Conference, June 3, 2026</w:t>
      </w:r>
    </w:p>
    <w:p>
      <w:r>
        <w:rPr>
          <w:rFonts w:ascii="Calibri" w:hAnsi="Calibri"/>
          <w:color w:val="525866"/>
          <w:sz w:val="22"/>
        </w:rPr>
        <w:t>AMH is the most direct read-through for INVH as both operate in the single-family rental sector with overlapping Sunbelt market exposure. At REITweek on June 3, 2026, AMH management provided the following current-quarter commentary:</w:t>
      </w:r>
    </w:p>
    <w:p>
      <w:pPr>
        <w:pStyle w:val="ListBullet"/>
        <w:ind w:left="360" w:hanging="360"/>
      </w:pPr>
      <w:r>
        <w:rPr>
          <w:rFonts w:ascii="Calibri" w:hAnsi="Calibri"/>
          <w:b/>
          <w:color w:val="525866"/>
          <w:sz w:val="22"/>
        </w:rPr>
        <w:t xml:space="preserve">Occupancy building through spring leasing season: </w:t>
      </w:r>
      <w:r>
        <w:rPr>
          <w:rFonts w:ascii="Calibri" w:hAnsi="Calibri"/>
          <w:color w:val="525866"/>
          <w:sz w:val="22"/>
        </w:rPr>
        <w:t>AMH reported occupancy increased 60 bps from 95.6% in April to 96.2% in May, with further pickup expected in June. This is directly comparable to INVH’s April occupancy of 97.1% (80 bps above Q1 average), suggesting both SFR operators are seeing the same seasonal occupancy build.</w:t>
      </w:r>
    </w:p>
    <w:p>
      <w:pPr>
        <w:pStyle w:val="ListBullet"/>
        <w:ind w:left="360" w:hanging="360"/>
      </w:pPr>
      <w:r>
        <w:rPr>
          <w:rFonts w:ascii="Calibri" w:hAnsi="Calibri"/>
          <w:b/>
          <w:color w:val="525866"/>
          <w:sz w:val="22"/>
        </w:rPr>
        <w:t xml:space="preserve">New lease rates turned positive and accelerating: </w:t>
      </w:r>
      <w:r>
        <w:rPr>
          <w:rFonts w:ascii="Calibri" w:hAnsi="Calibri"/>
          <w:color w:val="525866"/>
          <w:sz w:val="22"/>
        </w:rPr>
        <w:t>AMH new lease rates grew from +1.2% in April to +1.5% in May, with renewals steady at ~3.0–3.1%. This is consistent with INVH’s April data (new leases just under +0.5%, renewals in low-3% range), and AMH’s May improvement suggests INVH may also show further acceleration in May/June.</w:t>
      </w:r>
    </w:p>
    <w:p>
      <w:pPr>
        <w:pStyle w:val="ListBullet"/>
        <w:ind w:left="360" w:hanging="360"/>
      </w:pPr>
      <w:r>
        <w:rPr>
          <w:rFonts w:ascii="Calibri" w:hAnsi="Calibri"/>
          <w:b/>
          <w:color w:val="525866"/>
          <w:sz w:val="22"/>
        </w:rPr>
        <w:t xml:space="preserve">Back-half outlook: </w:t>
      </w:r>
      <w:r>
        <w:rPr>
          <w:rFonts w:ascii="Calibri" w:hAnsi="Calibri"/>
          <w:color w:val="525866"/>
          <w:sz w:val="22"/>
        </w:rPr>
        <w:t>AMH expects new leases to accelerate to the mid-3% range in H2 2026, with renewals settling in the mid-3s in Q3. If this trajectory holds for INVH, it would support a full-year blended rent growth above the current consensus of ~2.3% for Q2.</w:t>
      </w:r>
    </w:p>
    <w:p>
      <w:pPr>
        <w:pStyle w:val="ListBullet"/>
        <w:ind w:left="360" w:hanging="360"/>
      </w:pPr>
      <w:r>
        <w:rPr>
          <w:rFonts w:ascii="Calibri" w:hAnsi="Calibri"/>
          <w:b/>
          <w:color w:val="525866"/>
          <w:sz w:val="22"/>
        </w:rPr>
        <w:t xml:space="preserve">Supply picture consistently improving: </w:t>
      </w:r>
      <w:r>
        <w:rPr>
          <w:rFonts w:ascii="Calibri" w:hAnsi="Calibri"/>
          <w:color w:val="525866"/>
          <w:sz w:val="22"/>
        </w:rPr>
        <w:t>AMH cited “consistently improving supply picture” with “nice decreases” in most markets, including Atlanta seeing supply growth decelerate for the first time in several quarters. This corroborates INVH management’s Q1 commentary that BTR peak deliveries are “in the rear view mirror” across all markets.</w:t>
      </w:r>
    </w:p>
    <w:p>
      <w:pPr>
        <w:pStyle w:val="ListBullet"/>
        <w:ind w:left="360" w:hanging="360"/>
      </w:pPr>
      <w:r>
        <w:rPr>
          <w:rFonts w:ascii="Calibri" w:hAnsi="Calibri"/>
          <w:b/>
          <w:color w:val="525866"/>
          <w:sz w:val="22"/>
        </w:rPr>
        <w:t xml:space="preserve">Resident quality and bad debt: </w:t>
      </w:r>
      <w:r>
        <w:rPr>
          <w:rFonts w:ascii="Calibri" w:hAnsi="Calibri"/>
          <w:color w:val="525866"/>
          <w:sz w:val="22"/>
        </w:rPr>
        <w:t>AMH reported bad debt and collections “close to historical lows,” with income growth running above new lease rate growth. This is consistent with INVH’s Q1 bad debt of 60 bps (flat YoY) and supports the view that credit quality is not a headwind.</w:t>
      </w:r>
    </w:p>
    <w:p>
      <w:pPr>
        <w:pStyle w:val="ListBullet"/>
        <w:ind w:left="360" w:hanging="360"/>
      </w:pPr>
      <w:r>
        <w:rPr>
          <w:rFonts w:ascii="Calibri" w:hAnsi="Calibri"/>
          <w:b/>
          <w:color w:val="525866"/>
          <w:sz w:val="22"/>
        </w:rPr>
        <w:t xml:space="preserve">Regulatory read-through: </w:t>
      </w:r>
      <w:r>
        <w:rPr>
          <w:rFonts w:ascii="Calibri" w:hAnsi="Calibri"/>
          <w:color w:val="525866"/>
          <w:sz w:val="22"/>
        </w:rPr>
        <w:t>AMH noted the House version of the housing bill removes the 7-year disposition requirement and excludes build-to-rent from restrictions — a positive for INVH’s ResiBuilt fee-build platform and construction lending business. AMH expects the legislation to drive consolidation opportunities for large, integrated SFR platforms.</w:t>
      </w:r>
    </w:p>
    <w:p>
      <w:r>
        <w:rPr>
          <w:rFonts w:ascii="Calibri" w:hAnsi="Calibri"/>
          <w:b/>
          <w:color w:val="525866"/>
          <w:sz w:val="22"/>
        </w:rPr>
        <w:t xml:space="preserve">Limitations: </w:t>
      </w:r>
      <w:r>
        <w:rPr>
          <w:rFonts w:ascii="Calibri" w:hAnsi="Calibri"/>
          <w:color w:val="525866"/>
          <w:sz w:val="22"/>
        </w:rPr>
        <w:t>AMH’s portfolio skews more heavily toward newer, purpose-built SFR communities vs. INVH’s older, acquired single-family homes, which can create differences in expense profiles (particularly maintenance and CapEx). AMH’s specific market mix (heavier Atlanta, Phoenix, Southeast) may differ from INVH’s (heavier Florida, California, Southeast). AMH’s occupancy base of ~96.2% in May is lower than INVH’s April 97.1%, suggesting INVH may have less occupancy upside but more pricing power.</w:t>
      </w:r>
    </w:p>
    <w:p>
      <w:pPr>
        <w:pStyle w:val="Heading3"/>
      </w:pPr>
      <w:r>
        <w:rPr>
          <w:rFonts w:ascii="Calibri" w:hAnsi="Calibri"/>
          <w:b/>
          <w:color w:val="3B4259"/>
          <w:sz w:val="24"/>
        </w:rPr>
        <w:t>6B. UDR (UDR, Inc.) — Multifamily Peer [MODERATE READ-THROUGH RELEVANCE]</w:t>
      </w:r>
    </w:p>
    <w:p>
      <w:r>
        <w:rPr>
          <w:rFonts w:ascii="Calibri" w:hAnsi="Calibri"/>
          <w:b/>
          <w:color w:val="525866"/>
          <w:sz w:val="22"/>
        </w:rPr>
        <w:t xml:space="preserve">Source: </w:t>
      </w:r>
      <w:r>
        <w:rPr>
          <w:rFonts w:ascii="Calibri" w:hAnsi="Calibri"/>
          <w:color w:val="525866"/>
          <w:sz w:val="22"/>
        </w:rPr>
        <w:t>UDR Q2 2026 Earnings Release (July 27, 2026) and Earnings Call (July 28, 2026)</w:t>
      </w:r>
    </w:p>
    <w:p>
      <w:r>
        <w:rPr>
          <w:rFonts w:ascii="Calibri" w:hAnsi="Calibri"/>
          <w:color w:val="525866"/>
          <w:sz w:val="22"/>
        </w:rPr>
        <w:t xml:space="preserve">UDR is a multifamily apartment REIT — a different asset class from INVH’s SFR portfolio — but provides useful read-throughs on broad residential rental demand, occupancy trends, and expense dynamics. UDR reported Q2 2026 results that </w:t>
      </w:r>
      <w:r>
        <w:rPr>
          <w:rFonts w:ascii="Calibri" w:hAnsi="Calibri"/>
          <w:b/>
          <w:color w:val="525866"/>
          <w:sz w:val="22"/>
        </w:rPr>
        <w:t>exceeded expectations</w:t>
      </w:r>
      <w:r>
        <w:rPr>
          <w:rFonts w:ascii="Calibri" w:hAnsi="Calibri"/>
          <w:color w:val="525866"/>
          <w:sz w:val="22"/>
        </w:rPr>
        <w:t xml:space="preserve"> and raised full-year guidance, providing a constructive backdrop for INVH’s print:</w:t>
      </w:r>
    </w:p>
    <w:p>
      <w:pPr>
        <w:pStyle w:val="ListBullet"/>
        <w:ind w:left="360" w:hanging="360"/>
      </w:pPr>
      <w:r>
        <w:rPr>
          <w:rFonts w:ascii="Calibri" w:hAnsi="Calibri"/>
          <w:b/>
          <w:color w:val="525866"/>
          <w:sz w:val="22"/>
        </w:rPr>
        <w:t xml:space="preserve">Q2 2026 beat and guidance raise: </w:t>
      </w:r>
      <w:r>
        <w:rPr>
          <w:rFonts w:ascii="Calibri" w:hAnsi="Calibri"/>
          <w:color w:val="525866"/>
          <w:sz w:val="22"/>
        </w:rPr>
        <w:t>UDR reported FFO as Adjusted per share of $0.64, achieving the high end of guidance and exceeding consensus. Full-year FFO as Adjusted guidance raised by $0.01/share at the midpoint to $2.53. Same-store NOI growth guidance raised 50 bps at the midpoint. This is a positive read-through for the residential rental sector broadly.</w:t>
      </w:r>
    </w:p>
    <w:p>
      <w:pPr>
        <w:pStyle w:val="ListBullet"/>
        <w:ind w:left="360" w:hanging="360"/>
      </w:pPr>
      <w:r>
        <w:rPr>
          <w:rFonts w:ascii="Calibri" w:hAnsi="Calibri"/>
          <w:b/>
          <w:color w:val="525866"/>
          <w:sz w:val="22"/>
        </w:rPr>
        <w:t xml:space="preserve">Blended lease rate growth accelerating: </w:t>
      </w:r>
      <w:r>
        <w:rPr>
          <w:rFonts w:ascii="Calibri" w:hAnsi="Calibri"/>
          <w:color w:val="525866"/>
          <w:sz w:val="22"/>
        </w:rPr>
        <w:t>UDR Q2 2026 blended lease rate growth was 2.1%, accelerating 50 bps from Q1 and exceeding the high end of their 1.5–2.0% guidance range. Renewal lease rate growth was 4.2%, new lease rate growth was -0.6% overall (but +7.8% in the West region). This is broadly consistent with INVH’s April data (blended +2.3%, renewals low-3%, new leases just under +0.5%).</w:t>
      </w:r>
    </w:p>
    <w:p>
      <w:pPr>
        <w:pStyle w:val="ListBullet"/>
        <w:ind w:left="360" w:hanging="360"/>
      </w:pPr>
      <w:r>
        <w:rPr>
          <w:rFonts w:ascii="Calibri" w:hAnsi="Calibri"/>
          <w:b/>
          <w:color w:val="525866"/>
          <w:sz w:val="22"/>
        </w:rPr>
        <w:t xml:space="preserve">Occupancy stable in mid-96% range: </w:t>
      </w:r>
      <w:r>
        <w:rPr>
          <w:rFonts w:ascii="Calibri" w:hAnsi="Calibri"/>
          <w:color w:val="525866"/>
          <w:sz w:val="22"/>
        </w:rPr>
        <w:t>UDR Q2 same-store physical occupancy was 96.6%, flat sequentially and -20 bps YoY. Management noted occupancy is “in the mid-96s” in early Q3, with blended rates “at the top end of our second half range.” This supports INVH’s occupancy guidance of 96.0–96.6% for FY 2026.</w:t>
      </w:r>
    </w:p>
    <w:p>
      <w:pPr>
        <w:pStyle w:val="ListBullet"/>
        <w:ind w:left="360" w:hanging="360"/>
      </w:pPr>
      <w:r>
        <w:rPr>
          <w:rFonts w:ascii="Calibri" w:hAnsi="Calibri"/>
          <w:b/>
          <w:color w:val="525866"/>
          <w:sz w:val="22"/>
        </w:rPr>
        <w:t xml:space="preserve">Expense growth better than expected: </w:t>
      </w:r>
      <w:r>
        <w:rPr>
          <w:rFonts w:ascii="Calibri" w:hAnsi="Calibri"/>
          <w:color w:val="525866"/>
          <w:sz w:val="22"/>
        </w:rPr>
        <w:t>UDR same-store expense growth was only 2.6% in Q2, better than the prior guidance of 3.0–4.5%, driven by constrained growth in repairs &amp; maintenance, real estate taxes, and insurance. This is a positive read-through for INVH’s expense trajectory, where Q1 2026 expenses grew 5.7% YoY due to timing — suggesting the normalization management guided to may be materializing.</w:t>
      </w:r>
    </w:p>
    <w:p>
      <w:pPr>
        <w:pStyle w:val="ListBullet"/>
        <w:ind w:left="360" w:hanging="360"/>
      </w:pPr>
      <w:r>
        <w:rPr>
          <w:rFonts w:ascii="Calibri" w:hAnsi="Calibri"/>
          <w:b/>
          <w:color w:val="525866"/>
          <w:sz w:val="22"/>
        </w:rPr>
        <w:t xml:space="preserve">Sunbelt markets improving but still negative: </w:t>
      </w:r>
      <w:r>
        <w:rPr>
          <w:rFonts w:ascii="Calibri" w:hAnsi="Calibri"/>
          <w:color w:val="525866"/>
          <w:sz w:val="22"/>
        </w:rPr>
        <w:t>UDR’s Sunbelt markets (25% of NOI) showed blended lease rate growth of -2% in Q2, improving to approximately -1.5% in July. Sunbelt new lease growth was -7 to -7.5% in Q2, improving to approximately -5.5 to -6% in July. This is a caution for INVH’s Sunbelt-heavy portfolio (Florida, Southeast), though INVH’s SFR product typically commands better pricing than multifamily in these markets.</w:t>
      </w:r>
    </w:p>
    <w:p>
      <w:pPr>
        <w:pStyle w:val="ListBullet"/>
        <w:ind w:left="360" w:hanging="360"/>
      </w:pPr>
      <w:r>
        <w:rPr>
          <w:rFonts w:ascii="Calibri" w:hAnsi="Calibri"/>
          <w:b/>
          <w:color w:val="525866"/>
          <w:sz w:val="22"/>
        </w:rPr>
        <w:t xml:space="preserve">Demand fundamentals healthy: </w:t>
      </w:r>
      <w:r>
        <w:rPr>
          <w:rFonts w:ascii="Calibri" w:hAnsi="Calibri"/>
          <w:color w:val="525866"/>
          <w:sz w:val="22"/>
        </w:rPr>
        <w:t>UDR cited employment growth exceeding consensus expectations, housing affordability remaining in favor of renting vs. owning, and new apartment supply continuing to abate. Resident retention reached a 60% all-time seasonal high, 140 bps better than prior year. Rent-to-income ratios remain at ~21%, and cancellations/denials are lower than a year ago (35–37% vs. above 40%).</w:t>
      </w:r>
    </w:p>
    <w:p>
      <w:pPr>
        <w:pStyle w:val="ListBullet"/>
        <w:ind w:left="360" w:hanging="360"/>
      </w:pPr>
      <w:r>
        <w:rPr>
          <w:rFonts w:ascii="Calibri" w:hAnsi="Calibri"/>
          <w:b/>
          <w:color w:val="525866"/>
          <w:sz w:val="22"/>
        </w:rPr>
        <w:t xml:space="preserve">Early Q3 tracking similar to Q2: </w:t>
      </w:r>
      <w:r>
        <w:rPr>
          <w:rFonts w:ascii="Calibri" w:hAnsi="Calibri"/>
          <w:color w:val="525866"/>
          <w:sz w:val="22"/>
        </w:rPr>
        <w:t>Management stated “early third quarter results are tracking similar to the second quarter,” with occupancy in the mid-96s and blended rates at the top end of the 1.5–2.0% second-half range. This suggests the leasing season is elongated and momentum is sustained.</w:t>
      </w:r>
    </w:p>
    <w:p>
      <w:r>
        <w:rPr>
          <w:rFonts w:ascii="Calibri" w:hAnsi="Calibri"/>
          <w:b/>
          <w:color w:val="525866"/>
          <w:sz w:val="22"/>
        </w:rPr>
        <w:t xml:space="preserve">Limitations: </w:t>
      </w:r>
      <w:r>
        <w:rPr>
          <w:rFonts w:ascii="Calibri" w:hAnsi="Calibri"/>
          <w:color w:val="525866"/>
          <w:sz w:val="22"/>
        </w:rPr>
        <w:t>UDR is a multifamily REIT with a portfolio concentrated in coastal markets (San Francisco, New York, Boston, Seattle, Washington D.C.) that are outperforming INVH’s Sunbelt-heavy SFR markets. UDR’s blended lease rate growth of 2.1% is driven by coastal strength (West region +6.2% blended) that is not directly comparable to INVH’s market mix. The Sunbelt read-through (negative blended rates) is more relevant but still reflects multifamily dynamics that can differ from SFR. UDR’s decision to wind down its debt and preferred equity book and shift to share repurchases mirrors INVH’s capital allocation pivot but is not directly comparable operationally.</w:t>
      </w:r>
    </w:p>
    <w:p>
      <w:pPr>
        <w:pStyle w:val="Heading3"/>
      </w:pPr>
      <w:r>
        <w:rPr>
          <w:rFonts w:ascii="Calibri" w:hAnsi="Calibri"/>
          <w:b/>
          <w:color w:val="3B4259"/>
          <w:sz w:val="24"/>
        </w:rPr>
        <w:t>6C. MAA (Mid-America Apartment Communities) — Multifamily Peer [MODERATE READ-THROUGH RELEVANCE, SUNBELT FOCUS]</w:t>
      </w:r>
    </w:p>
    <w:p>
      <w:r>
        <w:rPr>
          <w:rFonts w:ascii="Calibri" w:hAnsi="Calibri"/>
          <w:b/>
          <w:color w:val="525866"/>
          <w:sz w:val="22"/>
        </w:rPr>
        <w:t xml:space="preserve">Source: </w:t>
      </w:r>
      <w:r>
        <w:rPr>
          <w:rFonts w:ascii="Calibri" w:hAnsi="Calibri"/>
          <w:color w:val="525866"/>
          <w:sz w:val="22"/>
        </w:rPr>
        <w:t>MAA Nareit REITweek Investor Conference, June 3, 2026</w:t>
      </w:r>
    </w:p>
    <w:p>
      <w:r>
        <w:rPr>
          <w:rFonts w:ascii="Calibri" w:hAnsi="Calibri"/>
          <w:color w:val="525866"/>
          <w:sz w:val="22"/>
        </w:rPr>
        <w:t>MAA is a multifamily REIT with the highest Sunbelt concentration among major apartment REITs, making it the most geographically relevant multifamily read-through for INVH. At REITweek on June 3, 2026, MAA provided the following current-quarter commentary:</w:t>
      </w:r>
    </w:p>
    <w:p>
      <w:pPr>
        <w:pStyle w:val="ListBullet"/>
        <w:ind w:left="360" w:hanging="360"/>
      </w:pPr>
      <w:r>
        <w:rPr>
          <w:rFonts w:ascii="Calibri" w:hAnsi="Calibri"/>
          <w:b/>
          <w:color w:val="525866"/>
          <w:sz w:val="22"/>
        </w:rPr>
        <w:t xml:space="preserve">Blended lease rates accelerating sharply into Q2: </w:t>
      </w:r>
      <w:r>
        <w:rPr>
          <w:rFonts w:ascii="Calibri" w:hAnsi="Calibri"/>
          <w:color w:val="525866"/>
          <w:sz w:val="22"/>
        </w:rPr>
        <w:t>MAA reported blended lease-over-lease rates were up approximately 140 bps in May from Q1 levels, with new lease rates up 240 bps in May from Q1. The average blended lease pricing in May reached its highest level in almost two years. This is a strong positive read-through for INVH’s Q2 blended rent growth, suggesting the April inflection management cited is continuing and potentially accelerating.</w:t>
      </w:r>
    </w:p>
    <w:p>
      <w:pPr>
        <w:pStyle w:val="ListBullet"/>
        <w:ind w:left="360" w:hanging="360"/>
      </w:pPr>
      <w:r>
        <w:rPr>
          <w:rFonts w:ascii="Calibri" w:hAnsi="Calibri"/>
          <w:b/>
          <w:color w:val="525866"/>
          <w:sz w:val="22"/>
        </w:rPr>
        <w:t xml:space="preserve">Occupancy stabilizing and concessions declining: </w:t>
      </w:r>
      <w:r>
        <w:rPr>
          <w:rFonts w:ascii="Calibri" w:hAnsi="Calibri"/>
          <w:color w:val="525866"/>
          <w:sz w:val="22"/>
        </w:rPr>
        <w:t>MAA noted market-level occupancies are stabilizing at historical averages, with concession usage declining in some markets as pricing power returns. This is consistent with INVH’s April occupancy of 97.1% and management’s commentary that supply is moderating.</w:t>
      </w:r>
    </w:p>
    <w:p>
      <w:pPr>
        <w:pStyle w:val="ListBullet"/>
        <w:ind w:left="360" w:hanging="360"/>
      </w:pPr>
      <w:r>
        <w:rPr>
          <w:rFonts w:ascii="Calibri" w:hAnsi="Calibri"/>
          <w:b/>
          <w:color w:val="525866"/>
          <w:sz w:val="22"/>
        </w:rPr>
        <w:t xml:space="preserve">Supply declining dramatically: </w:t>
      </w:r>
      <w:r>
        <w:rPr>
          <w:rFonts w:ascii="Calibri" w:hAnsi="Calibri"/>
          <w:color w:val="525866"/>
          <w:sz w:val="22"/>
        </w:rPr>
        <w:t>MAA highlighted that supply in its markets is down approximately 40% from last year and 60% from two years ago, with new starts below long-term averages for three consecutive years. This is the most bullish supply commentary from any peer and directly supports INVH management’s view that BTR peak deliveries are in the rear view mirror.</w:t>
      </w:r>
    </w:p>
    <w:p>
      <w:pPr>
        <w:pStyle w:val="ListBullet"/>
        <w:ind w:left="360" w:hanging="360"/>
      </w:pPr>
      <w:r>
        <w:rPr>
          <w:rFonts w:ascii="Calibri" w:hAnsi="Calibri"/>
          <w:b/>
          <w:color w:val="525866"/>
          <w:sz w:val="22"/>
        </w:rPr>
        <w:t xml:space="preserve">Resident financial health strong: </w:t>
      </w:r>
      <w:r>
        <w:rPr>
          <w:rFonts w:ascii="Calibri" w:hAnsi="Calibri"/>
          <w:color w:val="525866"/>
          <w:sz w:val="22"/>
        </w:rPr>
        <w:t>MAA reported rent-to-income ratios of approximately 20% (200 bps lower than two years prior), collections over 99%, and delinquency under 30 bps — consistent with INVH’s 60 bps bad debt and strong renewal rates.</w:t>
      </w:r>
    </w:p>
    <w:p>
      <w:pPr>
        <w:pStyle w:val="ListBullet"/>
        <w:ind w:left="360" w:hanging="360"/>
      </w:pPr>
      <w:r>
        <w:rPr>
          <w:rFonts w:ascii="Calibri" w:hAnsi="Calibri"/>
          <w:b/>
          <w:color w:val="525866"/>
          <w:sz w:val="22"/>
        </w:rPr>
        <w:t xml:space="preserve">Expense discipline: </w:t>
      </w:r>
      <w:r>
        <w:rPr>
          <w:rFonts w:ascii="Calibri" w:hAnsi="Calibri"/>
          <w:color w:val="525866"/>
          <w:sz w:val="22"/>
        </w:rPr>
        <w:t>MAA has outperformed peers by 290 bps on same-store and overhead expenses over five years, with the “Reimagine” program expected to contribute ~$25M in NOI over 2.5–3 years. While INVH’s expense structure differs (individual home maintenance vs. common area), the broader message of expense normalization is relevant.</w:t>
      </w:r>
    </w:p>
    <w:p>
      <w:r>
        <w:rPr>
          <w:rFonts w:ascii="Calibri" w:hAnsi="Calibri"/>
          <w:b/>
          <w:color w:val="525866"/>
          <w:sz w:val="22"/>
        </w:rPr>
        <w:t xml:space="preserve">Limitations: </w:t>
      </w:r>
      <w:r>
        <w:rPr>
          <w:rFonts w:ascii="Calibri" w:hAnsi="Calibri"/>
          <w:color w:val="525866"/>
          <w:sz w:val="22"/>
        </w:rPr>
        <w:t>MAA is a multifamily REIT — its supply/demand dynamics reflect apartment deliveries, not SFR or BTR supply. The 40% decline in supply refers to multifamily deliveries; SFR supply (including mom-and-pop listings and BTR completions) has its own trajectory. MAA’s specific markets (Charlotte, Nashville, Atlanta, Dallas, Phoenix) overlap with INVH but the product type and tenant demographics differ. MAA’s “podding” and “Reimagine” operational initiatives are multifamily-specific and not directly applicable to INVH’s decentralized SFR management model.</w:t>
      </w:r>
    </w:p>
    <w:p>
      <w:pPr>
        <w:pStyle w:val="Heading3"/>
      </w:pPr>
      <w:r>
        <w:rPr>
          <w:rFonts w:ascii="Calibri" w:hAnsi="Calibri"/>
          <w:b/>
          <w:color w:val="3B4259"/>
          <w:sz w:val="24"/>
        </w:rPr>
        <w:t>6D. ESS (Essex Property Trust) — Multifamily Peer [MODERATE READ-THROUGH RELEVANCE, WEST COAST FOCUS]</w:t>
      </w:r>
    </w:p>
    <w:p>
      <w:r>
        <w:rPr>
          <w:rFonts w:ascii="Calibri" w:hAnsi="Calibri"/>
          <w:b/>
          <w:color w:val="525866"/>
          <w:sz w:val="22"/>
        </w:rPr>
        <w:t xml:space="preserve">Source: </w:t>
      </w:r>
      <w:r>
        <w:rPr>
          <w:rFonts w:ascii="Calibri" w:hAnsi="Calibri"/>
          <w:color w:val="525866"/>
          <w:sz w:val="22"/>
        </w:rPr>
        <w:t>ESS Nareit REITweek Investor Conference, June 3, 2026</w:t>
      </w:r>
    </w:p>
    <w:p>
      <w:r>
        <w:rPr>
          <w:rFonts w:ascii="Calibri" w:hAnsi="Calibri"/>
          <w:color w:val="525866"/>
          <w:sz w:val="22"/>
        </w:rPr>
        <w:t>ESS is a West Coast multifamily REIT with no Sunbelt exposure, making it most relevant for INVH’s California and Pacific Northwest markets. At REITweek on June 3, 2026, ESS provided the following current-quarter commentary:</w:t>
      </w:r>
    </w:p>
    <w:p>
      <w:pPr>
        <w:pStyle w:val="ListBullet"/>
        <w:ind w:left="360" w:hanging="360"/>
      </w:pPr>
      <w:r>
        <w:rPr>
          <w:rFonts w:ascii="Calibri" w:hAnsi="Calibri"/>
          <w:b/>
          <w:color w:val="525866"/>
          <w:sz w:val="22"/>
        </w:rPr>
        <w:t xml:space="preserve">Blended lease rates accelerating sharply on West Coast: </w:t>
      </w:r>
      <w:r>
        <w:rPr>
          <w:rFonts w:ascii="Calibri" w:hAnsi="Calibri"/>
          <w:color w:val="525866"/>
          <w:sz w:val="22"/>
        </w:rPr>
        <w:t>ESS reported blended lease rate growth of 1.4% in Q1, accelerating to 3.1% in April and 3.7% in May. Management noted they are “pushing rents” in Q2 after prioritizing occupancy in Q1/Q4. This is a strong positive read-through for INVH’s California markets (where residents average ~5 years tenure and renewal rates are highest).</w:t>
      </w:r>
    </w:p>
    <w:p>
      <w:pPr>
        <w:pStyle w:val="ListBullet"/>
        <w:ind w:left="360" w:hanging="360"/>
      </w:pPr>
      <w:r>
        <w:rPr>
          <w:rFonts w:ascii="Calibri" w:hAnsi="Calibri"/>
          <w:b/>
          <w:color w:val="525866"/>
          <w:sz w:val="22"/>
        </w:rPr>
        <w:t xml:space="preserve">West Coast supply at historical lows: </w:t>
      </w:r>
      <w:r>
        <w:rPr>
          <w:rFonts w:ascii="Calibri" w:hAnsi="Calibri"/>
          <w:color w:val="525866"/>
          <w:sz w:val="22"/>
        </w:rPr>
        <w:t>ESS cited total supply at approximately 40 bps of inventory vs. a normal 70 bps, with Seattle supply down 25% this year and further declines expected next year. Oakland supply has “significantly dwindled.” This is directly relevant to INVH’s California and Pacific Northwest SFR portfolio.</w:t>
      </w:r>
    </w:p>
    <w:p>
      <w:pPr>
        <w:pStyle w:val="ListBullet"/>
        <w:ind w:left="360" w:hanging="360"/>
      </w:pPr>
      <w:r>
        <w:rPr>
          <w:rFonts w:ascii="Calibri" w:hAnsi="Calibri"/>
          <w:b/>
          <w:color w:val="525866"/>
          <w:sz w:val="22"/>
        </w:rPr>
        <w:t xml:space="preserve">Northern California recovery story with significant runway: </w:t>
      </w:r>
      <w:r>
        <w:rPr>
          <w:rFonts w:ascii="Calibri" w:hAnsi="Calibri"/>
          <w:color w:val="525866"/>
          <w:sz w:val="22"/>
        </w:rPr>
        <w:t>ESS described Northern California as a “recovery story” with rent growth currently at ~10% above pre-COVID levels vs. a potential 20% above pre-COVID — implying significant upside. AI-driven job growth, return-to-office, and positive net domestic in-migration (first time in decades in the Bay Area) are the key demand drivers.</w:t>
      </w:r>
    </w:p>
    <w:p>
      <w:pPr>
        <w:pStyle w:val="ListBullet"/>
        <w:ind w:left="360" w:hanging="360"/>
      </w:pPr>
      <w:r>
        <w:rPr>
          <w:rFonts w:ascii="Calibri" w:hAnsi="Calibri"/>
          <w:b/>
          <w:color w:val="525866"/>
          <w:sz w:val="22"/>
        </w:rPr>
        <w:t xml:space="preserve">Guidance trending ahead of expectations: </w:t>
      </w:r>
      <w:r>
        <w:rPr>
          <w:rFonts w:ascii="Calibri" w:hAnsi="Calibri"/>
          <w:color w:val="525866"/>
          <w:sz w:val="22"/>
        </w:rPr>
        <w:t>ESS management stated they are “trending ahead of guidance” and plan to revisit guidance after Q2 numbers and peak leasing season. This is a positive signal for the broader West Coast rental market.</w:t>
      </w:r>
    </w:p>
    <w:p>
      <w:pPr>
        <w:pStyle w:val="ListBullet"/>
        <w:ind w:left="360" w:hanging="360"/>
      </w:pPr>
      <w:r>
        <w:rPr>
          <w:rFonts w:ascii="Calibri" w:hAnsi="Calibri"/>
          <w:b/>
          <w:color w:val="525866"/>
          <w:sz w:val="22"/>
        </w:rPr>
        <w:t xml:space="preserve">Caution on SFR supply ramp-up speed: </w:t>
      </w:r>
      <w:r>
        <w:rPr>
          <w:rFonts w:ascii="Calibri" w:hAnsi="Calibri"/>
          <w:color w:val="525866"/>
          <w:sz w:val="22"/>
        </w:rPr>
        <w:t>ESS CEO Angela Kleiman specifically noted that investors “underappreciate the power of supply” and cautioned that in markets where supply is “heavily influenced by single-family that can ramp up very quickly,” even a decline from 3% to 2% of inventory is “still a lot of supply.” This is a direct caution for INVH’s Sunbelt markets where SFR/BTR supply can respond faster than multifamily.</w:t>
      </w:r>
    </w:p>
    <w:p>
      <w:r>
        <w:rPr>
          <w:rFonts w:ascii="Calibri" w:hAnsi="Calibri"/>
          <w:b/>
          <w:color w:val="525866"/>
          <w:sz w:val="22"/>
        </w:rPr>
        <w:t xml:space="preserve">Limitations: </w:t>
      </w:r>
      <w:r>
        <w:rPr>
          <w:rFonts w:ascii="Calibri" w:hAnsi="Calibri"/>
          <w:color w:val="525866"/>
          <w:sz w:val="22"/>
        </w:rPr>
        <w:t>ESS has zero Sunbelt exposure and is entirely focused on California and Seattle — markets that represent a minority of INVH’s portfolio. ESS’s multifamily product in urban cores (San Francisco, Peninsula, Seattle urban) serves a different demographic than INVH’s suburban SFR homes. The West Coast strength ESS describes may not fully translate to INVH’s suburban California SFR markets. ESS’s explicit caution about SFR supply ramping quickly is a sector-specific risk that investors should weigh.</w:t>
      </w:r>
    </w:p>
    <w:p>
      <w:pPr>
        <w:pStyle w:val="Heading3"/>
      </w:pPr>
      <w:r>
        <w:rPr>
          <w:rFonts w:ascii="Calibri" w:hAnsi="Calibri"/>
          <w:b/>
          <w:color w:val="3B4259"/>
          <w:sz w:val="24"/>
        </w:rPr>
        <w:t>6E. AVB (AvalonBay Communities) — Multifamily Peer [LOWER READ-THROUGH RELEVANCE]</w:t>
      </w:r>
    </w:p>
    <w:p>
      <w:r>
        <w:rPr>
          <w:rFonts w:ascii="Calibri" w:hAnsi="Calibri"/>
          <w:b/>
          <w:color w:val="525866"/>
          <w:sz w:val="22"/>
        </w:rPr>
        <w:t xml:space="preserve">Source: </w:t>
      </w:r>
      <w:r>
        <w:rPr>
          <w:rFonts w:ascii="Calibri" w:hAnsi="Calibri"/>
          <w:color w:val="525866"/>
          <w:sz w:val="22"/>
        </w:rPr>
        <w:t>AVB Q2 2026 Earnings Release (July 22–23, 2026)</w:t>
      </w:r>
    </w:p>
    <w:p>
      <w:r>
        <w:rPr>
          <w:rFonts w:ascii="Calibri" w:hAnsi="Calibri"/>
          <w:color w:val="525866"/>
          <w:sz w:val="22"/>
        </w:rPr>
        <w:t>AVB reported Q2 2026 FFO of $2.86, beating Street expectations of $2.81, and raised its full-year NOI guidance. The company attributed the strong quarter to its high-quality portfolio in supply-constrained markets and consistent operational execution. While AVB’s coastal multifamily focus (Northeast, Mid-Atlantic, Pacific Northwest, Northern California) limits direct read-through to INVH’s Sunbelt SFR portfolio, the beat-and-raise pattern from a major residential REIT is a positive sector signal heading into INVH’s print.</w:t>
      </w:r>
    </w:p>
    <w:p>
      <w:r>
        <w:rPr>
          <w:rFonts w:ascii="Calibri" w:hAnsi="Calibri"/>
          <w:b/>
          <w:color w:val="525866"/>
          <w:sz w:val="22"/>
        </w:rPr>
        <w:t xml:space="preserve">Limitations: </w:t>
      </w:r>
      <w:r>
        <w:rPr>
          <w:rFonts w:ascii="Calibri" w:hAnsi="Calibri"/>
          <w:color w:val="525866"/>
          <w:sz w:val="22"/>
        </w:rPr>
        <w:t>AVB’s portfolio is concentrated in coastal markets with minimal Sunbelt exposure, making it the least directly comparable peer for INVH. The detailed Q2 2026 operating commentary (occupancy, rent growth, expense trends) was not available in the 8-K filing reviewed; the read-through is limited to the headline beat-and-raise signal.</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Asset Class</w:t>
            </w:r>
          </w:p>
        </w:tc>
        <w:tc>
          <w:tcPr>
            <w:tcW w:type="dxa" w:w="1440"/>
            <w:shd w:val="clear" w:color="auto" w:fill="3B4259"/>
          </w:tcPr>
          <w:p>
            <w:r>
              <w:rPr>
                <w:rFonts w:ascii="Calibri" w:hAnsi="Calibri"/>
                <w:b/>
                <w:color w:val="FFFFFF"/>
                <w:sz w:val="22"/>
              </w:rPr>
              <w:t>Commentary Date</w:t>
            </w:r>
          </w:p>
        </w:tc>
        <w:tc>
          <w:tcPr>
            <w:tcW w:type="dxa" w:w="1440"/>
            <w:shd w:val="clear" w:color="auto" w:fill="3B4259"/>
          </w:tcPr>
          <w:p>
            <w:r>
              <w:rPr>
                <w:rFonts w:ascii="Calibri" w:hAnsi="Calibri"/>
                <w:b/>
                <w:color w:val="FFFFFF"/>
                <w:sz w:val="22"/>
              </w:rPr>
              <w:t>Key Q2 2026 Data Point</w:t>
            </w:r>
          </w:p>
        </w:tc>
        <w:tc>
          <w:tcPr>
            <w:tcW w:type="dxa" w:w="1440"/>
            <w:shd w:val="clear" w:color="auto" w:fill="3B4259"/>
          </w:tcPr>
          <w:p>
            <w:r>
              <w:rPr>
                <w:rFonts w:ascii="Calibri" w:hAnsi="Calibri"/>
                <w:b/>
                <w:color w:val="FFFFFF"/>
                <w:sz w:val="22"/>
              </w:rPr>
              <w:t>INVH Read-Through</w:t>
            </w:r>
          </w:p>
        </w:tc>
        <w:tc>
          <w:tcPr>
            <w:tcW w:type="dxa" w:w="1440"/>
            <w:shd w:val="clear" w:color="auto" w:fill="3B4259"/>
          </w:tcPr>
          <w:p>
            <w:r>
              <w:rPr>
                <w:rFonts w:ascii="Calibri" w:hAnsi="Calibri"/>
                <w:b/>
                <w:color w:val="FFFFFF"/>
                <w:sz w:val="22"/>
              </w:rPr>
              <w:t>Relevance</w:t>
            </w:r>
          </w:p>
        </w:tc>
      </w:tr>
      <w:tr>
        <w:tc>
          <w:tcPr>
            <w:tcW w:type="dxa" w:w="1440"/>
          </w:tcPr>
          <w:p>
            <w:r>
              <w:rPr>
                <w:rFonts w:ascii="Calibri" w:hAnsi="Calibri"/>
                <w:sz w:val="22"/>
              </w:rPr>
              <w:t>AMH</w:t>
            </w:r>
          </w:p>
        </w:tc>
        <w:tc>
          <w:tcPr>
            <w:tcW w:type="dxa" w:w="1440"/>
          </w:tcPr>
          <w:p>
            <w:r>
              <w:rPr>
                <w:rFonts w:ascii="Calibri" w:hAnsi="Calibri"/>
                <w:sz w:val="22"/>
              </w:rPr>
              <w:t>SFR (direct peer)</w:t>
            </w:r>
          </w:p>
        </w:tc>
        <w:tc>
          <w:tcPr>
            <w:tcW w:type="dxa" w:w="1440"/>
          </w:tcPr>
          <w:p>
            <w:r>
              <w:rPr>
                <w:rFonts w:ascii="Calibri" w:hAnsi="Calibri"/>
                <w:sz w:val="22"/>
              </w:rPr>
              <w:t>Jun 3, 2026</w:t>
            </w:r>
          </w:p>
        </w:tc>
        <w:tc>
          <w:tcPr>
            <w:tcW w:type="dxa" w:w="1440"/>
          </w:tcPr>
          <w:p>
            <w:r>
              <w:rPr>
                <w:rFonts w:ascii="Calibri" w:hAnsi="Calibri"/>
                <w:sz w:val="22"/>
              </w:rPr>
              <w:t>Occ. 96.2% in May (+60 bps from Apr); new leases +1.5% in May; supply improving in most markets</w:t>
            </w:r>
          </w:p>
        </w:tc>
        <w:tc>
          <w:tcPr>
            <w:tcW w:type="dxa" w:w="1440"/>
          </w:tcPr>
          <w:p>
            <w:r>
              <w:rPr>
                <w:rFonts w:ascii="Calibri" w:hAnsi="Calibri"/>
                <w:b/>
                <w:color w:val="30A46C"/>
                <w:sz w:val="22"/>
              </w:rPr>
              <w:t>Positive: SFR demand strong, occupancy building, new lease rates accelerating</w:t>
            </w:r>
          </w:p>
        </w:tc>
        <w:tc>
          <w:tcPr>
            <w:tcW w:type="dxa" w:w="1440"/>
          </w:tcPr>
          <w:p>
            <w:r>
              <w:rPr>
                <w:rFonts w:ascii="Calibri" w:hAnsi="Calibri"/>
                <w:sz w:val="22"/>
              </w:rPr>
              <w:t>Highest — same asset class, overlapping markets</w:t>
            </w:r>
          </w:p>
        </w:tc>
      </w:tr>
      <w:tr>
        <w:tc>
          <w:tcPr>
            <w:tcW w:type="dxa" w:w="1440"/>
          </w:tcPr>
          <w:p>
            <w:r>
              <w:rPr>
                <w:rFonts w:ascii="Calibri" w:hAnsi="Calibri"/>
                <w:sz w:val="22"/>
              </w:rPr>
              <w:t>UDR</w:t>
            </w:r>
          </w:p>
        </w:tc>
        <w:tc>
          <w:tcPr>
            <w:tcW w:type="dxa" w:w="1440"/>
          </w:tcPr>
          <w:p>
            <w:r>
              <w:rPr>
                <w:rFonts w:ascii="Calibri" w:hAnsi="Calibri"/>
                <w:sz w:val="22"/>
              </w:rPr>
              <w:t>Multifamily</w:t>
            </w:r>
          </w:p>
        </w:tc>
        <w:tc>
          <w:tcPr>
            <w:tcW w:type="dxa" w:w="1440"/>
          </w:tcPr>
          <w:p>
            <w:r>
              <w:rPr>
                <w:rFonts w:ascii="Calibri" w:hAnsi="Calibri"/>
                <w:sz w:val="22"/>
              </w:rPr>
              <w:t>Jul 27–28, 2026</w:t>
            </w:r>
          </w:p>
        </w:tc>
        <w:tc>
          <w:tcPr>
            <w:tcW w:type="dxa" w:w="1440"/>
          </w:tcPr>
          <w:p>
            <w:r>
              <w:rPr>
                <w:rFonts w:ascii="Calibri" w:hAnsi="Calibri"/>
                <w:sz w:val="22"/>
              </w:rPr>
              <w:t>Q2 FFO beat; blended +2.1% (accel. 50 bps); expense growth only 2.6%; Sunbelt blends -2% but improving to -1.5% in July</w:t>
            </w:r>
          </w:p>
        </w:tc>
        <w:tc>
          <w:tcPr>
            <w:tcW w:type="dxa" w:w="1440"/>
          </w:tcPr>
          <w:p>
            <w:r>
              <w:rPr>
                <w:rFonts w:ascii="Calibri" w:hAnsi="Calibri"/>
                <w:sz w:val="22"/>
              </w:rPr>
              <w:t>Positive on expenses and demand; Sunbelt softness a caution for INVH’s Sunbelt markets</w:t>
            </w:r>
          </w:p>
        </w:tc>
        <w:tc>
          <w:tcPr>
            <w:tcW w:type="dxa" w:w="1440"/>
          </w:tcPr>
          <w:p>
            <w:r>
              <w:rPr>
                <w:rFonts w:ascii="Calibri" w:hAnsi="Calibri"/>
                <w:sz w:val="22"/>
              </w:rPr>
              <w:t>Moderate — different asset class, coastal-heavy</w:t>
            </w:r>
          </w:p>
        </w:tc>
      </w:tr>
      <w:tr>
        <w:tc>
          <w:tcPr>
            <w:tcW w:type="dxa" w:w="1440"/>
          </w:tcPr>
          <w:p>
            <w:r>
              <w:rPr>
                <w:rFonts w:ascii="Calibri" w:hAnsi="Calibri"/>
                <w:sz w:val="22"/>
              </w:rPr>
              <w:t>MAA</w:t>
            </w:r>
          </w:p>
        </w:tc>
        <w:tc>
          <w:tcPr>
            <w:tcW w:type="dxa" w:w="1440"/>
          </w:tcPr>
          <w:p>
            <w:r>
              <w:rPr>
                <w:rFonts w:ascii="Calibri" w:hAnsi="Calibri"/>
                <w:sz w:val="22"/>
              </w:rPr>
              <w:t>Multifamily (Sunbelt)</w:t>
            </w:r>
          </w:p>
        </w:tc>
        <w:tc>
          <w:tcPr>
            <w:tcW w:type="dxa" w:w="1440"/>
          </w:tcPr>
          <w:p>
            <w:r>
              <w:rPr>
                <w:rFonts w:ascii="Calibri" w:hAnsi="Calibri"/>
                <w:sz w:val="22"/>
              </w:rPr>
              <w:t>Jun 3, 2026</w:t>
            </w:r>
          </w:p>
        </w:tc>
        <w:tc>
          <w:tcPr>
            <w:tcW w:type="dxa" w:w="1440"/>
          </w:tcPr>
          <w:p>
            <w:r>
              <w:rPr>
                <w:rFonts w:ascii="Calibri" w:hAnsi="Calibri"/>
                <w:sz w:val="22"/>
              </w:rPr>
              <w:t>Blended rates up 140 bps in May from Q1; new leases up 240 bps; supply down 40% YoY; concessions declining</w:t>
            </w:r>
          </w:p>
        </w:tc>
        <w:tc>
          <w:tcPr>
            <w:tcW w:type="dxa" w:w="1440"/>
          </w:tcPr>
          <w:p>
            <w:r>
              <w:rPr>
                <w:rFonts w:ascii="Calibri" w:hAnsi="Calibri"/>
                <w:b/>
                <w:color w:val="30A46C"/>
                <w:sz w:val="22"/>
              </w:rPr>
              <w:t>Positive: Sunbelt supply abating, pricing power returning; most geographically relevant multifamily peer</w:t>
            </w:r>
          </w:p>
        </w:tc>
        <w:tc>
          <w:tcPr>
            <w:tcW w:type="dxa" w:w="1440"/>
          </w:tcPr>
          <w:p>
            <w:r>
              <w:rPr>
                <w:rFonts w:ascii="Calibri" w:hAnsi="Calibri"/>
                <w:sz w:val="22"/>
              </w:rPr>
              <w:t>Moderate-High — Sunbelt overlap, different product</w:t>
            </w:r>
          </w:p>
        </w:tc>
      </w:tr>
      <w:tr>
        <w:tc>
          <w:tcPr>
            <w:tcW w:type="dxa" w:w="1440"/>
          </w:tcPr>
          <w:p>
            <w:r>
              <w:rPr>
                <w:rFonts w:ascii="Calibri" w:hAnsi="Calibri"/>
                <w:sz w:val="22"/>
              </w:rPr>
              <w:t>ESS</w:t>
            </w:r>
          </w:p>
        </w:tc>
        <w:tc>
          <w:tcPr>
            <w:tcW w:type="dxa" w:w="1440"/>
          </w:tcPr>
          <w:p>
            <w:r>
              <w:rPr>
                <w:rFonts w:ascii="Calibri" w:hAnsi="Calibri"/>
                <w:sz w:val="22"/>
              </w:rPr>
              <w:t>Multifamily (West Coast)</w:t>
            </w:r>
          </w:p>
        </w:tc>
        <w:tc>
          <w:tcPr>
            <w:tcW w:type="dxa" w:w="1440"/>
          </w:tcPr>
          <w:p>
            <w:r>
              <w:rPr>
                <w:rFonts w:ascii="Calibri" w:hAnsi="Calibri"/>
                <w:sz w:val="22"/>
              </w:rPr>
              <w:t>Jun 3, 2026</w:t>
            </w:r>
          </w:p>
        </w:tc>
        <w:tc>
          <w:tcPr>
            <w:tcW w:type="dxa" w:w="1440"/>
          </w:tcPr>
          <w:p>
            <w:r>
              <w:rPr>
                <w:rFonts w:ascii="Calibri" w:hAnsi="Calibri"/>
                <w:sz w:val="22"/>
              </w:rPr>
              <w:t>Blended +3.7% in May; supply at 40-yr lows; NorCal recovery story; SFR supply can ramp quickly (caution)</w:t>
            </w:r>
          </w:p>
        </w:tc>
        <w:tc>
          <w:tcPr>
            <w:tcW w:type="dxa" w:w="1440"/>
          </w:tcPr>
          <w:p>
            <w:r>
              <w:rPr>
                <w:rFonts w:ascii="Calibri" w:hAnsi="Calibri"/>
                <w:sz w:val="22"/>
              </w:rPr>
              <w:t>Positive for INVH’s CA markets; caution on SFR supply ramp speed in Sunbelt</w:t>
            </w:r>
          </w:p>
        </w:tc>
        <w:tc>
          <w:tcPr>
            <w:tcW w:type="dxa" w:w="1440"/>
          </w:tcPr>
          <w:p>
            <w:r>
              <w:rPr>
                <w:rFonts w:ascii="Calibri" w:hAnsi="Calibri"/>
                <w:sz w:val="22"/>
              </w:rPr>
              <w:t>Moderate — West Coast only, different product</w:t>
            </w:r>
          </w:p>
        </w:tc>
      </w:tr>
      <w:tr>
        <w:tc>
          <w:tcPr>
            <w:tcW w:type="dxa" w:w="1440"/>
          </w:tcPr>
          <w:p>
            <w:r>
              <w:rPr>
                <w:rFonts w:ascii="Calibri" w:hAnsi="Calibri"/>
                <w:sz w:val="22"/>
              </w:rPr>
              <w:t>AVB</w:t>
            </w:r>
          </w:p>
        </w:tc>
        <w:tc>
          <w:tcPr>
            <w:tcW w:type="dxa" w:w="1440"/>
          </w:tcPr>
          <w:p>
            <w:r>
              <w:rPr>
                <w:rFonts w:ascii="Calibri" w:hAnsi="Calibri"/>
                <w:sz w:val="22"/>
              </w:rPr>
              <w:t>Multifamily (Coastal)</w:t>
            </w:r>
          </w:p>
        </w:tc>
        <w:tc>
          <w:tcPr>
            <w:tcW w:type="dxa" w:w="1440"/>
          </w:tcPr>
          <w:p>
            <w:r>
              <w:rPr>
                <w:rFonts w:ascii="Calibri" w:hAnsi="Calibri"/>
                <w:sz w:val="22"/>
              </w:rPr>
              <w:t>Jul 22–23, 2026</w:t>
            </w:r>
          </w:p>
        </w:tc>
        <w:tc>
          <w:tcPr>
            <w:tcW w:type="dxa" w:w="1440"/>
          </w:tcPr>
          <w:p>
            <w:r>
              <w:rPr>
                <w:rFonts w:ascii="Calibri" w:hAnsi="Calibri"/>
                <w:sz w:val="22"/>
              </w:rPr>
              <w:t>Q2 FFO $2.86 vs. $2.81 est.; raised full-year NOI guidance; strong occupancy and operational execution</w:t>
            </w:r>
          </w:p>
        </w:tc>
        <w:tc>
          <w:tcPr>
            <w:tcW w:type="dxa" w:w="1440"/>
          </w:tcPr>
          <w:p>
            <w:r>
              <w:rPr>
                <w:rFonts w:ascii="Calibri" w:hAnsi="Calibri"/>
                <w:sz w:val="22"/>
              </w:rPr>
              <w:t>Positive sector signal (beat-and-raise); limited direct operational read-through</w:t>
            </w:r>
          </w:p>
        </w:tc>
        <w:tc>
          <w:tcPr>
            <w:tcW w:type="dxa" w:w="1440"/>
          </w:tcPr>
          <w:p>
            <w:r>
              <w:rPr>
                <w:rFonts w:ascii="Calibri" w:hAnsi="Calibri"/>
                <w:sz w:val="22"/>
              </w:rPr>
              <w:t>Lower — coastal-only, different product</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last earnings is the enactment of the 21st Century ROAD to Housing Act on July 15, 2026 — a landmark piece of legislation that creates both near-term uncertainty (some fee-build projects on hold pending clarity) and long-term opportunity (consolidation, BTR exclusion, favorable regulatory framework) for INVH.</w:t>
      </w:r>
    </w:p>
    <w:p>
      <w:pPr>
        <w:pStyle w:val="ListBullet"/>
        <w:ind w:left="360" w:hanging="360"/>
      </w:pPr>
      <w:r>
        <w:rPr>
          <w:rFonts w:ascii="Calibri" w:hAnsi="Calibri"/>
          <w:b/>
          <w:color w:val="525866"/>
          <w:sz w:val="22"/>
        </w:rPr>
        <w:t xml:space="preserve">July 15, 2026 — 21st Century ROAD to Housing Act enacted by Congress (House 358-32, Senate 85-5): </w:t>
      </w:r>
      <w:r>
        <w:rPr>
          <w:rFonts w:ascii="Calibri" w:hAnsi="Calibri"/>
          <w:color w:val="525866"/>
          <w:sz w:val="22"/>
        </w:rPr>
        <w:t xml:space="preserve">The most comprehensive housing bill of this century passed with strong bipartisan support. Key provisions include restrictions on MLS purchases by institutional SFR operators (INVH has been active in this channel), a 7-year disposition requirement (Senate version; House version removed this), and exclusion of build-to-rent from restrictions. INVH had some fee-build projects placed on hold pending legislative clarity. The final bill’s specific provisions will be critical to assess on the Q2 call. </w:t>
      </w:r>
      <w:r>
        <w:rPr>
          <w:rFonts w:ascii="Calibri" w:hAnsi="Calibri"/>
          <w:b/>
          <w:color w:val="525866"/>
          <w:sz w:val="22"/>
        </w:rPr>
        <w:t xml:space="preserve">Implication: </w:t>
      </w:r>
      <w:r>
        <w:rPr>
          <w:rFonts w:ascii="Calibri" w:hAnsi="Calibri"/>
          <w:color w:val="525866"/>
          <w:sz w:val="22"/>
        </w:rPr>
        <w:t>Near-term uncertainty on acquisition strategy; long-term positive for INVH’s BTR/ResiBuilt platform and potential consolidation of smaller SFR operators who find the space less attractive.</w:t>
      </w:r>
    </w:p>
    <w:p>
      <w:pPr>
        <w:pStyle w:val="ListBullet"/>
        <w:ind w:left="360" w:hanging="360"/>
      </w:pPr>
      <w:r>
        <w:rPr>
          <w:rFonts w:ascii="Calibri" w:hAnsi="Calibri"/>
          <w:b/>
          <w:color w:val="525866"/>
          <w:sz w:val="22"/>
        </w:rPr>
        <w:t xml:space="preserve">July 21, 2026 — CNBC reports rental companies selling more property following new housing legislation: </w:t>
      </w:r>
      <w:r>
        <w:rPr>
          <w:rFonts w:ascii="Calibri" w:hAnsi="Calibri"/>
          <w:color w:val="525866"/>
          <w:sz w:val="22"/>
        </w:rPr>
        <w:t xml:space="preserve">Diana Olick reported that rental companies are accelerating dispositions in response to the new housing legislation. </w:t>
      </w:r>
      <w:r>
        <w:rPr>
          <w:rFonts w:ascii="Calibri" w:hAnsi="Calibri"/>
          <w:b/>
          <w:color w:val="525866"/>
          <w:sz w:val="22"/>
        </w:rPr>
        <w:t xml:space="preserve">Implication: </w:t>
      </w:r>
      <w:r>
        <w:rPr>
          <w:rFonts w:ascii="Calibri" w:hAnsi="Calibri"/>
          <w:color w:val="525866"/>
          <w:sz w:val="22"/>
        </w:rPr>
        <w:t>Consistent with INVH’s existing disposition strategy (tracking ahead of plan); may accelerate the pace of portfolio optimization and buyback funding.</w:t>
      </w:r>
    </w:p>
    <w:p>
      <w:pPr>
        <w:pStyle w:val="ListBullet"/>
        <w:ind w:left="360" w:hanging="360"/>
      </w:pPr>
      <w:r>
        <w:rPr>
          <w:rFonts w:ascii="Calibri" w:hAnsi="Calibri"/>
          <w:b/>
          <w:color w:val="525866"/>
          <w:sz w:val="22"/>
        </w:rPr>
        <w:t xml:space="preserve">July 6–8, 2026 — INVH Operating Arm prices and closes $500M in 4.95% Senior Notes due 2032: </w:t>
      </w:r>
      <w:r>
        <w:rPr>
          <w:rFonts w:ascii="Calibri" w:hAnsi="Calibri"/>
          <w:color w:val="525866"/>
          <w:sz w:val="22"/>
        </w:rPr>
        <w:t xml:space="preserve">Invitation Homes Operating Partnership LP issued $500M in senior unsecured notes at 4.95%, due 2032. This is a debt refinancing/extension transaction that extends the maturity profile and locks in fixed-rate financing. </w:t>
      </w:r>
      <w:r>
        <w:rPr>
          <w:rFonts w:ascii="Calibri" w:hAnsi="Calibri"/>
          <w:b/>
          <w:color w:val="525866"/>
          <w:sz w:val="22"/>
        </w:rPr>
        <w:t xml:space="preserve">Implication: </w:t>
      </w:r>
      <w:r>
        <w:rPr>
          <w:rFonts w:ascii="Calibri" w:hAnsi="Calibri"/>
          <w:color w:val="525866"/>
          <w:sz w:val="22"/>
        </w:rPr>
        <w:t>Positive for balance sheet management; no debt maturing before June 2027 (now extended further). Modest dilution to near-term interest expense vs. prior debt, but improves long-term financial flexibility.</w:t>
      </w:r>
    </w:p>
    <w:p>
      <w:pPr>
        <w:pStyle w:val="ListBullet"/>
        <w:ind w:left="360" w:hanging="360"/>
      </w:pPr>
      <w:r>
        <w:rPr>
          <w:rFonts w:ascii="Calibri" w:hAnsi="Calibri"/>
          <w:b/>
          <w:color w:val="525866"/>
          <w:sz w:val="22"/>
        </w:rPr>
        <w:t xml:space="preserve">June 3, 2026 — INVH participated in Nareit REITweek 2026 Investor Conference: </w:t>
      </w:r>
      <w:r>
        <w:rPr>
          <w:rFonts w:ascii="Calibri" w:hAnsi="Calibri"/>
          <w:color w:val="525866"/>
          <w:sz w:val="22"/>
        </w:rPr>
        <w:t xml:space="preserve">INVH management presented at the annual NAREIT conference alongside peers. No material guidance changes were disclosed at the conference. </w:t>
      </w:r>
      <w:r>
        <w:rPr>
          <w:rFonts w:ascii="Calibri" w:hAnsi="Calibri"/>
          <w:b/>
          <w:color w:val="525866"/>
          <w:sz w:val="22"/>
        </w:rPr>
        <w:t xml:space="preserve">Implication: </w:t>
      </w:r>
      <w:r>
        <w:rPr>
          <w:rFonts w:ascii="Calibri" w:hAnsi="Calibri"/>
          <w:color w:val="525866"/>
          <w:sz w:val="22"/>
        </w:rPr>
        <w:t>Consistent with management’s posture of maintaining guidance and waiting for peak leasing season data before revising.</w:t>
      </w:r>
    </w:p>
    <w:p>
      <w:pPr>
        <w:pStyle w:val="ListBullet"/>
        <w:ind w:left="360" w:hanging="360"/>
      </w:pPr>
      <w:r>
        <w:rPr>
          <w:rFonts w:ascii="Calibri" w:hAnsi="Calibri"/>
          <w:b/>
          <w:color w:val="525866"/>
          <w:sz w:val="22"/>
        </w:rPr>
        <w:t xml:space="preserve">May 8, 2026 — INVH shareholders approve new 2026 Omnibus Incentive Plan and re-elect directors: </w:t>
      </w:r>
      <w:r>
        <w:rPr>
          <w:rFonts w:ascii="Calibri" w:hAnsi="Calibri"/>
          <w:color w:val="525866"/>
          <w:sz w:val="22"/>
        </w:rPr>
        <w:t xml:space="preserve">Annual meeting completed without controversy; new equity incentive plan approved. </w:t>
      </w:r>
      <w:r>
        <w:rPr>
          <w:rFonts w:ascii="Calibri" w:hAnsi="Calibri"/>
          <w:b/>
          <w:color w:val="525866"/>
          <w:sz w:val="22"/>
        </w:rPr>
        <w:t xml:space="preserve">Implication: </w:t>
      </w:r>
      <w:r>
        <w:rPr>
          <w:rFonts w:ascii="Calibri" w:hAnsi="Calibri"/>
          <w:color w:val="525866"/>
          <w:sz w:val="22"/>
        </w:rPr>
        <w:t>Routine governance; no material impact on operations or capital allocation.</w:t>
      </w:r>
    </w:p>
    <w:p>
      <w:pPr>
        <w:pStyle w:val="ListBullet"/>
        <w:ind w:left="360" w:hanging="360"/>
      </w:pPr>
      <w:r>
        <w:rPr>
          <w:rFonts w:ascii="Calibri" w:hAnsi="Calibri"/>
          <w:b/>
          <w:color w:val="525866"/>
          <w:sz w:val="22"/>
        </w:rPr>
        <w:t xml:space="preserve">April 27–29, 2026 — New $500M share repurchase authorization approved; prior $500M fully utilized: </w:t>
      </w:r>
      <w:r>
        <w:rPr>
          <w:rFonts w:ascii="Calibri" w:hAnsi="Calibri"/>
          <w:color w:val="525866"/>
          <w:sz w:val="22"/>
        </w:rPr>
        <w:t xml:space="preserve">Board approved a new $500M buyback concurrent with Q1 earnings. The prior authorization was fully utilized, including ~$439M in Q1 2026 alone (17.1M shares at avg. ~$25.65). Management framed buybacks as the highest-return use of capital given the public-private valuation gap (selling homes at low-4% cap rates, buying back stock at implied ~$270K/home vs. $427K average sale price). </w:t>
      </w:r>
      <w:r>
        <w:rPr>
          <w:rFonts w:ascii="Calibri" w:hAnsi="Calibri"/>
          <w:b/>
          <w:color w:val="525866"/>
          <w:sz w:val="22"/>
        </w:rPr>
        <w:t xml:space="preserve">Implication: </w:t>
      </w:r>
      <w:r>
        <w:rPr>
          <w:rFonts w:ascii="Calibri" w:hAnsi="Calibri"/>
          <w:color w:val="525866"/>
          <w:sz w:val="22"/>
        </w:rPr>
        <w:t>Continued buyback activity in Q2 would be a positive signal; watch for update on pace of new $500M authorization.</w:t>
      </w:r>
    </w:p>
    <w:p>
      <w:pPr>
        <w:pStyle w:val="ListBullet"/>
        <w:ind w:left="360" w:hanging="360"/>
      </w:pPr>
      <w:r>
        <w:rPr>
          <w:rFonts w:ascii="Calibri" w:hAnsi="Calibri"/>
          <w:b/>
          <w:color w:val="525866"/>
          <w:sz w:val="22"/>
        </w:rPr>
        <w:t xml:space="preserve">Ongoing — ResiBuilt integration and fee-build pipeline development: </w:t>
      </w:r>
      <w:r>
        <w:rPr>
          <w:rFonts w:ascii="Calibri" w:hAnsi="Calibri"/>
          <w:color w:val="525866"/>
          <w:sz w:val="22"/>
        </w:rPr>
        <w:t xml:space="preserve">ResiBuilt (acquired January 14, 2026) delivered over 300 homes to third-party buyers in Q1 2026. Construction lending book grew to ~$279M in commitments across six projects. Some fee-build projects placed on hold pending Road to Housing Act clarity. </w:t>
      </w:r>
      <w:r>
        <w:rPr>
          <w:rFonts w:ascii="Calibri" w:hAnsi="Calibri"/>
          <w:b/>
          <w:color w:val="525866"/>
          <w:sz w:val="22"/>
        </w:rPr>
        <w:t xml:space="preserve">Implication: </w:t>
      </w:r>
      <w:r>
        <w:rPr>
          <w:rFonts w:ascii="Calibri" w:hAnsi="Calibri"/>
          <w:color w:val="525866"/>
          <w:sz w:val="22"/>
        </w:rPr>
        <w:t>Watch for Q2 update on ResiBuilt delivery pace, construction lending funded balance (was &lt;$20M funded vs. $279M committed), and any fee-build project restarts post-legislation.</w:t>
      </w:r>
    </w:p>
    <w:p>
      <w:pPr>
        <w:pStyle w:val="ListBullet"/>
        <w:ind w:left="360" w:hanging="360"/>
      </w:pPr>
      <w:r>
        <w:rPr>
          <w:rFonts w:ascii="Calibri" w:hAnsi="Calibri"/>
          <w:b/>
          <w:color w:val="525866"/>
          <w:sz w:val="22"/>
        </w:rPr>
        <w:t xml:space="preserve">Ongoing — California wildfire insurance risk: </w:t>
      </w:r>
      <w:r>
        <w:rPr>
          <w:rFonts w:ascii="Calibri" w:hAnsi="Calibri"/>
          <w:color w:val="525866"/>
          <w:sz w:val="22"/>
        </w:rPr>
        <w:t xml:space="preserve">Bloomberg reported (July 22, 2026) that California’s FAIR Plan insurer of last resort is increasingly concentrated in luxury/high-value homes, creating potential solvency risk. INVH has significant California exposure (~25% of YTD dispositions from California). </w:t>
      </w:r>
      <w:r>
        <w:rPr>
          <w:rFonts w:ascii="Calibri" w:hAnsi="Calibri"/>
          <w:b/>
          <w:color w:val="525866"/>
          <w:sz w:val="22"/>
        </w:rPr>
        <w:t xml:space="preserve">Implication: </w:t>
      </w:r>
      <w:r>
        <w:rPr>
          <w:rFonts w:ascii="Calibri" w:hAnsi="Calibri"/>
          <w:color w:val="525866"/>
          <w:sz w:val="22"/>
        </w:rPr>
        <w:t>Insurance cost trajectory for California homes is a watch item; INVH’s Q1 insurance renewal came in “favorable relative to assumptions” but California wildfire risk remains a long-term headwind.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INVH in the period since last earnings (April 29 – July 28, 2026). The SEC Form 4 database returned no results for open-market buy (code P) or sell (code S) transactions for INVH in this window. The absence of insider buying is notable given management’s stated view that the stock is cheap (implied $270K/home buyback price vs. $427K average disposition price), but the company’s aggressive corporate buyback program ($439M in Q1 alone) may be substituting for individual insider purchases.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Apr 29 – Jul 28, 2026</w:t>
            </w:r>
          </w:p>
        </w:tc>
        <w:tc>
          <w:tcPr>
            <w:tcW w:type="dxa" w:w="1440"/>
          </w:tcPr>
          <w:p>
            <w:r>
              <w:rPr>
                <w:rFonts w:ascii="Calibri" w:hAnsi="Calibri"/>
                <w:sz w:val="22"/>
              </w:rPr>
              <w:t>SEC Form 4 database returned no open-market buy (P) or sell (S) transactions for INVH in this window. Multiple Form 4 filings were identified in SEC EDGAR for INVH in May 2026 but appear to be routine equity award/grant transactions (code A), not open-market purchases or sales.</w:t>
            </w:r>
          </w:p>
        </w:tc>
      </w:tr>
    </w:tbl>
    <w:p>
      <w:r>
        <w:rPr>
          <w:rFonts w:ascii="Calibri" w:hAnsi="Calibri"/>
          <w:b/>
          <w:color w:val="525866"/>
          <w:sz w:val="22"/>
        </w:rPr>
        <w:t xml:space="preserve">Context: </w:t>
      </w:r>
      <w:r>
        <w:rPr>
          <w:rFonts w:ascii="Calibri" w:hAnsi="Calibri"/>
          <w:color w:val="525866"/>
          <w:sz w:val="22"/>
        </w:rPr>
        <w:t>The SEC EDGAR search identified multiple Form 4 filings for INVH in May 2026 (filed May 8, 2026, concurrent with the annual meeting and new 2026 Omnibus Incentive Plan approval), which are consistent with routine equity award grants to directors and officers rather than open-market transactions. The absence of discretionary insider buying is not unusual for a company executing an aggressive corporate buyback program — management has effectively expressed its conviction through the $500M corporate repurchase authorization rather than individual open-market purchases. No 10b5-1 plan initiations or Form 144 filings were identified for INVH in this period. Source: SEC EDGAR Form 4 filings database.</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(Core FFO per share, AFFO per share, Same-Store NOI Growth, Same-Store Occupancy, Effective Blended Lease Rate, Total Revenues). Source: https://insights.visiblealpha.com/mex/INVH_US/NMV/IS and https://insights.visiblealpha.com/mex/INVH_US/NMV/OP</w:t>
      </w:r>
    </w:p>
    <w:p>
      <w:pPr>
        <w:pStyle w:val="ListBullet"/>
        <w:ind w:left="360" w:hanging="360"/>
      </w:pPr>
      <w:r>
        <w:rPr>
          <w:rFonts w:ascii="Calibri" w:hAnsi="Calibri"/>
          <w:b/>
          <w:color w:val="525866"/>
          <w:sz w:val="22"/>
        </w:rPr>
        <w:t>INVH Q1 2026 Earnings Release (April 29, 2026)</w:t>
      </w:r>
      <w:r>
        <w:rPr>
          <w:rFonts w:ascii="Calibri" w:hAnsi="Calibri"/>
          <w:color w:val="525866"/>
          <w:sz w:val="22"/>
        </w:rPr>
        <w:t xml:space="preserve"> — Q1 2026 actuals, full-year 2026 guidance ranges, April leasing trends, capital allocation details, ResiBuilt update.</w:t>
      </w:r>
    </w:p>
    <w:p>
      <w:pPr>
        <w:pStyle w:val="ListBullet"/>
        <w:ind w:left="360" w:hanging="360"/>
      </w:pPr>
      <w:r>
        <w:rPr>
          <w:rFonts w:ascii="Calibri" w:hAnsi="Calibri"/>
          <w:b/>
          <w:color w:val="525866"/>
          <w:sz w:val="22"/>
        </w:rPr>
        <w:t>INVH Q1 2026 Earnings Call Transcript (April 30, 2026)</w:t>
      </w:r>
      <w:r>
        <w:rPr>
          <w:rFonts w:ascii="Calibri" w:hAnsi="Calibri"/>
          <w:color w:val="525866"/>
          <w:sz w:val="22"/>
        </w:rPr>
        <w:t xml:space="preserve"> — Management commentary on guidance rationale, leasing trends, supply outlook, capital allocation strategy, legislative advocacy.</w:t>
      </w:r>
    </w:p>
    <w:p>
      <w:pPr>
        <w:pStyle w:val="ListBullet"/>
        <w:ind w:left="360" w:hanging="360"/>
      </w:pPr>
      <w:r>
        <w:rPr>
          <w:rFonts w:ascii="Calibri" w:hAnsi="Calibri"/>
          <w:b/>
          <w:color w:val="525866"/>
          <w:sz w:val="22"/>
        </w:rPr>
        <w:t>INVH 8-K (July 6–8, 2026)</w:t>
      </w:r>
      <w:r>
        <w:rPr>
          <w:rFonts w:ascii="Calibri" w:hAnsi="Calibri"/>
          <w:color w:val="525866"/>
          <w:sz w:val="22"/>
        </w:rPr>
        <w:t xml:space="preserve"> — $500M 4.95% Senior Notes due 2032 offering details.</w:t>
      </w:r>
    </w:p>
    <w:p>
      <w:pPr>
        <w:pStyle w:val="ListBullet"/>
        <w:ind w:left="360" w:hanging="360"/>
      </w:pPr>
      <w:r>
        <w:rPr>
          <w:rFonts w:ascii="Calibri" w:hAnsi="Calibri"/>
          <w:b/>
          <w:color w:val="525866"/>
          <w:sz w:val="22"/>
        </w:rPr>
        <w:t>INVH Press Release (July 8, 2026)</w:t>
      </w:r>
      <w:r>
        <w:rPr>
          <w:rFonts w:ascii="Calibri" w:hAnsi="Calibri"/>
          <w:color w:val="525866"/>
          <w:sz w:val="22"/>
        </w:rPr>
        <w:t xml:space="preserve"> — Q2 2026 earnings date announcement (July 29, 2026 after market close; conference call July 30, 2026 at 11:00 a.m. ET).</w:t>
      </w:r>
    </w:p>
    <w:p>
      <w:pPr>
        <w:pStyle w:val="ListBullet"/>
        <w:ind w:left="360" w:hanging="360"/>
      </w:pPr>
      <w:r>
        <w:rPr>
          <w:rFonts w:ascii="Calibri" w:hAnsi="Calibri"/>
          <w:b/>
          <w:color w:val="525866"/>
          <w:sz w:val="22"/>
        </w:rPr>
        <w:t>UDR Q2 2026 Earnings Release (July 27, 2026) and Earnings Call Transcript (July 28, 2026)</w:t>
      </w:r>
      <w:r>
        <w:rPr>
          <w:rFonts w:ascii="Calibri" w:hAnsi="Calibri"/>
          <w:color w:val="525866"/>
          <w:sz w:val="22"/>
        </w:rPr>
        <w:t xml:space="preserve"> — UDR Q2 2026 results, guidance raise, leasing trends, regional commentary.</w:t>
      </w:r>
    </w:p>
    <w:p>
      <w:pPr>
        <w:pStyle w:val="ListBullet"/>
        <w:ind w:left="360" w:hanging="360"/>
      </w:pPr>
      <w:r>
        <w:rPr>
          <w:rFonts w:ascii="Calibri" w:hAnsi="Calibri"/>
          <w:b/>
          <w:color w:val="525866"/>
          <w:sz w:val="22"/>
        </w:rPr>
        <w:t>AMH Nareit REITweek Investor Conference Transcript (June 3, 2026)</w:t>
      </w:r>
      <w:r>
        <w:rPr>
          <w:rFonts w:ascii="Calibri" w:hAnsi="Calibri"/>
          <w:color w:val="525866"/>
          <w:sz w:val="22"/>
        </w:rPr>
        <w:t xml:space="preserve"> — AMH current-quarter SFR operating commentary, occupancy, rent growth, supply, regulatory update.</w:t>
      </w:r>
    </w:p>
    <w:p>
      <w:pPr>
        <w:pStyle w:val="ListBullet"/>
        <w:ind w:left="360" w:hanging="360"/>
      </w:pPr>
      <w:r>
        <w:rPr>
          <w:rFonts w:ascii="Calibri" w:hAnsi="Calibri"/>
          <w:b/>
          <w:color w:val="525866"/>
          <w:sz w:val="22"/>
        </w:rPr>
        <w:t>MAA Nareit REITweek Investor Conference Transcript (June 3, 2026)</w:t>
      </w:r>
      <w:r>
        <w:rPr>
          <w:rFonts w:ascii="Calibri" w:hAnsi="Calibri"/>
          <w:color w:val="525866"/>
          <w:sz w:val="22"/>
        </w:rPr>
        <w:t xml:space="preserve"> — MAA current-quarter Sunbelt multifamily commentary, blended lease rates, supply, expenses.</w:t>
      </w:r>
    </w:p>
    <w:p>
      <w:pPr>
        <w:pStyle w:val="ListBullet"/>
        <w:ind w:left="360" w:hanging="360"/>
      </w:pPr>
      <w:r>
        <w:rPr>
          <w:rFonts w:ascii="Calibri" w:hAnsi="Calibri"/>
          <w:b/>
          <w:color w:val="525866"/>
          <w:sz w:val="22"/>
        </w:rPr>
        <w:t>ESS Nareit REITweek Investor Conference Transcript (June 3, 2026)</w:t>
      </w:r>
      <w:r>
        <w:rPr>
          <w:rFonts w:ascii="Calibri" w:hAnsi="Calibri"/>
          <w:color w:val="525866"/>
          <w:sz w:val="22"/>
        </w:rPr>
        <w:t xml:space="preserve"> — ESS West Coast multifamily commentary, supply dynamics, rent growth, SFR supply caution.</w:t>
      </w:r>
    </w:p>
    <w:p>
      <w:pPr>
        <w:pStyle w:val="ListBullet"/>
        <w:ind w:left="360" w:hanging="360"/>
      </w:pPr>
      <w:r>
        <w:rPr>
          <w:rFonts w:ascii="Calibri" w:hAnsi="Calibri"/>
          <w:b/>
          <w:color w:val="525866"/>
          <w:sz w:val="22"/>
        </w:rPr>
        <w:t>AVB Q2 2026 8-K (July 22–23, 2026)</w:t>
      </w:r>
      <w:r>
        <w:rPr>
          <w:rFonts w:ascii="Calibri" w:hAnsi="Calibri"/>
          <w:color w:val="525866"/>
          <w:sz w:val="22"/>
        </w:rPr>
        <w:t xml:space="preserve"> — AVB Q2 2026 earnings announcement.</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INVH, REZ, SPY daily closing prices April 29 – July 29, 2026.</w:t>
      </w:r>
    </w:p>
    <w:p>
      <w:pPr>
        <w:pStyle w:val="ListBullet"/>
        <w:ind w:left="360" w:hanging="360"/>
      </w:pPr>
      <w:r>
        <w:rPr>
          <w:rFonts w:ascii="Calibri" w:hAnsi="Calibri"/>
          <w:b/>
          <w:color w:val="525866"/>
          <w:sz w:val="22"/>
        </w:rPr>
        <w:t>INVH Stock Performance Decomposition (Implied Platform)</w:t>
      </w:r>
      <w:r>
        <w:rPr>
          <w:rFonts w:ascii="Calibri" w:hAnsi="Calibri"/>
          <w:color w:val="525866"/>
          <w:sz w:val="22"/>
        </w:rPr>
        <w:t xml:space="preserve"> — NTM EV/EBITDA multiple trajectory and peer relative valuation.</w:t>
      </w:r>
    </w:p>
    <w:p>
      <w:pPr>
        <w:pStyle w:val="ListBullet"/>
        <w:ind w:left="360" w:hanging="360"/>
      </w:pPr>
      <w:r>
        <w:rPr>
          <w:rFonts w:ascii="Calibri" w:hAnsi="Calibri"/>
          <w:b/>
          <w:color w:val="525866"/>
          <w:sz w:val="22"/>
        </w:rPr>
        <w:t>SEC EDGAR Form 4 Database</w:t>
      </w:r>
      <w:r>
        <w:rPr>
          <w:rFonts w:ascii="Calibri" w:hAnsi="Calibri"/>
          <w:color w:val="525866"/>
          <w:sz w:val="22"/>
        </w:rPr>
        <w:t xml:space="preserve"> — INVH insider transaction search, April 29 – July 28, 2026.</w:t>
      </w:r>
    </w:p>
    <w:p>
      <w:pPr>
        <w:pStyle w:val="ListBullet"/>
        <w:ind w:left="360" w:hanging="360"/>
      </w:pPr>
      <w:r>
        <w:rPr>
          <w:rFonts w:ascii="Calibri" w:hAnsi="Calibri"/>
          <w:b/>
          <w:color w:val="525866"/>
          <w:sz w:val="22"/>
        </w:rPr>
        <w:t>Daily News Digest (Implied Platform)</w:t>
      </w:r>
      <w:r>
        <w:rPr>
          <w:rFonts w:ascii="Calibri" w:hAnsi="Calibri"/>
          <w:color w:val="525866"/>
          <w:sz w:val="22"/>
        </w:rPr>
        <w:t xml:space="preserve"> — Real estate sector news, legislative developments, peer earnings announcements.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