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p-earnings-predictions--2026-07-30"/>
    <w:p>
      <w:pPr>
        <w:pStyle w:val="Heading1"/>
      </w:pPr>
      <w:r>
        <w:t xml:space="preserve">IP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(continuing ops)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555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545M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0.08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0.07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 box shipments YoY/day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~+3% vs. cons ~+1%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enterprise adj.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~$3.35B (reaffirm</w:t>
            </w:r>
            <w:r>
              <w:t xml:space="preserve"> </w:t>
            </w:r>
            <m:oMath>
              <m:r>
                <m:t>3.20</m:t>
              </m:r>
              <m:r>
                <m:rPr>
                  <m:sty m:val="p"/>
                </m:rPr>
                <m:t>−</m:t>
              </m:r>
              <m:r>
                <m:t>3.50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3.35B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Sept 1 containerboard price increase (not in guide)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</w:t>
            </w:r>
            <m:oMath>
              <m:r>
                <m:t>80</m:t>
              </m:r>
              <m:r>
                <m:rPr>
                  <m:sty m:val="p"/>
                </m:rPr>
                <m:t>/</m:t>
              </m:r>
              <m:r>
                <m:t>t</m:t>
              </m:r>
              <m:r>
                <m:t>o</m:t>
              </m:r>
              <m:r>
                <m:t>n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0/ton embedded (2H26/2027 upside)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NA EBITDA step-up credibility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</w:t>
            </w:r>
            <m:oMath>
              <m:r>
                <m:t>650</m:t>
              </m:r>
              <m:r>
                <m:t>M</m:t>
              </m:r>
              <m:r>
                <m:t>2</m:t>
              </m:r>
              <m:r>
                <m:t>H</m:t>
              </m:r>
              <m:r>
                <m:t>s</m:t>
              </m:r>
              <m:r>
                <m:t>t</m:t>
              </m:r>
              <m:r>
                <m:t>e</m:t>
              </m:r>
              <m:r>
                <m:t>p</m:t>
              </m:r>
              <m:r>
                <m:rPr>
                  <m:sty m:val="p"/>
                </m:rPr>
                <m:t>−</m:t>
              </m:r>
              <m:r>
                <m:t>u</m:t>
              </m:r>
              <m:r>
                <m:t>p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+</m:t>
              </m:r>
            </m:oMath>
            <w:r>
              <w:t xml:space="preserve">600M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EMEA separation timeline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~12-15 months vs. prior ~12-15 months (2027 close)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300</m:t>
              </m:r>
              <m:r>
                <m:rPr>
                  <m:sty m:val="p"/>
                </m:rPr>
                <m:t>−</m:t>
              </m:r>
              <m:r>
                <m:t>500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400M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Stock front-ran the print with a ~17% three-day rally and a JPM upgrade to $61, so the improved pricing story (Sept $80/ton, PKG $140/ton) and 2H ramp are already largely priced in. Q2 is a designed trough (near-breakeven EPS, doubled outages, Riverdale, EMEA margin lag), and the Sept increase is not yet in guidance, so a reaffirm-only FY framework offers little fresh upside. Out-period math is neutral-to-slightly-up (pricing supports 2H/2027 estimates) but not enough to sustain the euphoria; profit-taking and skepticism on 2H hockey-stick/80-20 cost-out credibility drive a fade after an in-line-to-soft trailing quarter.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2026-07-29T18:48:16Z</dcterms:created>
  <dcterms:modified xsi:type="dcterms:W3CDTF">2026-07-29T18:48:16Z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