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International Paper (IP) before writing the preview. Let me gather recent filings, earnings history, and news.Let me read the most recent earnings materials and the year-ago quarter for comparison.Let me get recent stock price action and any additional July news/analyst context.Let me quickly pull the year-ago Q2 2025 figures for comparison.# International Paper (IP) — Q2 2026 Earnings Preview</w:t>
      </w:r>
    </w:p>
    <w:bookmarkStart w:id="9" w:name="X1e15df8271b5293bfe50683a8cc405f921af0bf"/>
    <w:p>
      <w:pPr>
        <w:pStyle w:val="Heading3"/>
      </w:pPr>
      <w:r>
        <w:t xml:space="preserve">Reports before the open, Thursday, July 30, 2026 (2026Q2 Earnings Call, 10:00 a.m. ET)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IP heads into this print with the stock red-hot but the quarter itself set up to be the</w:t>
      </w:r>
      <w:r>
        <w:t xml:space="preserve"> </w:t>
      </w:r>
      <w:r>
        <w:rPr>
          <w:b/>
          <w:bCs/>
        </w:rPr>
        <w:t xml:space="preserve">low point of the year</w:t>
      </w:r>
      <w:r>
        <w:t xml:space="preserve">. Management explicitly guided Q2 to be a trough — heavy maintenance outages, the Riverdale conversion, and "peak margin compression" in Europe. The bull case is entirely about the</w:t>
      </w:r>
      <w:r>
        <w:t xml:space="preserve"> </w:t>
      </w:r>
      <w:r>
        <w:rPr>
          <w:b/>
          <w:bCs/>
        </w:rPr>
        <w:t xml:space="preserve">second-half ramp and a newly improving pricing backdrop</w:t>
      </w:r>
      <w:r>
        <w:t xml:space="preserve">, and the tape has already begun pricing that in. The risk is that a weak-by-design Q2 collides with elevated expectations after a ~17% three-day run.</w:t>
      </w:r>
    </w:p>
    <w:p>
      <w:r>
        <w:pict>
          <v:rect style="width:0;height:1.5pt" o:hralign="center" o:hrstd="t" o:hr="t"/>
        </w:pict>
      </w:r>
    </w:p>
    <w:bookmarkEnd w:id="10"/>
    <w:bookmarkStart w:id="11" w:name="X9fc7f14c3d1cfa5eb583b5c429a77c1bdd687ad"/>
    <w:p>
      <w:pPr>
        <w:pStyle w:val="Heading2"/>
      </w:pPr>
      <w:r>
        <w:t xml:space="preserve">Price action &amp; sentiment: the stock has front-run the print</w:t>
      </w:r>
    </w:p>
    <w:p>
      <w:pPr>
        <w:pStyle w:val="Compact"/>
        <w:numPr>
          <w:ilvl w:val="0"/>
          <w:numId w:val="1001"/>
        </w:numPr>
      </w:pPr>
      <w:r>
        <w:t xml:space="preserve">IP closed at</w:t>
      </w:r>
      <w:r>
        <w:t xml:space="preserve"> </w:t>
      </w:r>
      <m:oMath>
        <m:r>
          <m:t>42.85</m:t>
        </m:r>
        <m:r>
          <m:t>o</m:t>
        </m:r>
        <m:r>
          <m:t>n</m:t>
        </m:r>
        <m:r>
          <m:t>7</m:t>
        </m:r>
        <m:r>
          <m:rPr>
            <m:sty m:val="p"/>
          </m:rPr>
          <m:t>/</m:t>
        </m:r>
        <m:r>
          <m:t>29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s</m:t>
        </m:r>
        <m:r>
          <m:t>h</m:t>
        </m:r>
        <m:r>
          <m:t>a</m:t>
        </m:r>
        <m:r>
          <m:t>r</m:t>
        </m:r>
        <m:r>
          <m:t>p</m:t>
        </m:r>
        <m:r>
          <m:t>l</m:t>
        </m:r>
        <m:r>
          <m:t>y</m:t>
        </m:r>
        <m:r>
          <m:t>f</m:t>
        </m:r>
        <m:r>
          <m:t>r</m:t>
        </m:r>
        <m:r>
          <m:t>o</m:t>
        </m:r>
        <m:r>
          <m:t>m</m:t>
        </m:r>
        <m:r>
          <m:t>t</m:t>
        </m:r>
        <m:r>
          <m:t>h</m:t>
        </m:r>
        <m:r>
          <m:t>e</m:t>
        </m:r>
        <m:r>
          <m:t> </m:t>
        </m:r>
      </m:oMath>
      <w:r>
        <w:rPr>
          <w:b/>
          <w:bCs/>
        </w:rPr>
        <w:t xml:space="preserve">36–38 range where it spent most of June/July. The move accelerated in the final week: the stock jumped from ~</w:t>
      </w:r>
      <m:oMath>
        <m:r>
          <m:t>38</m:t>
        </m:r>
        <m:r>
          <m:t>o</m:t>
        </m:r>
        <m:r>
          <m:t>n</m:t>
        </m:r>
        <m:r>
          <m:t>7</m:t>
        </m:r>
        <m:r>
          <m:rPr>
            <m:sty m:val="p"/>
          </m:rPr>
          <m:t>/</m:t>
        </m:r>
        <m:r>
          <m:t>23</m:t>
        </m:r>
        <m:r>
          <m:t>t</m:t>
        </m:r>
        <m:r>
          <m:t>o</m:t>
        </m:r>
        <m:r>
          <m:t>a</m:t>
        </m:r>
        <m:r>
          <m:t>h</m:t>
        </m:r>
        <m:r>
          <m:t>i</m:t>
        </m:r>
        <m:r>
          <m:t>g</m:t>
        </m:r>
        <m:r>
          <m:t>h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44.09 on 7/28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Two catalysts drove the surge, both flagged by Truist's Michael Roxland: rival</w:t>
      </w:r>
      <w:r>
        <w:t xml:space="preserve"> </w:t>
      </w:r>
      <w:r>
        <w:rPr>
          <w:b/>
          <w:bCs/>
        </w:rPr>
        <w:t xml:space="preserve">Packaging Corp announced a $140/ton containerboard increase</w:t>
      </w:r>
      <w:r>
        <w:t xml:space="preserve">, and IP is reported to be **raising containerboard prices</w:t>
      </w:r>
      <w:r>
        <w:t xml:space="preserve"> </w:t>
      </w:r>
      <m:oMath>
        <m:r>
          <m:t>80</m:t>
        </m:r>
        <m:r>
          <m:rPr>
            <m:sty m:val="p"/>
          </m:rPr>
          <m:t>/</m:t>
        </m:r>
        <m:r>
          <m:t>t</m:t>
        </m:r>
        <m:r>
          <m:t>o</m:t>
        </m:r>
        <m:r>
          <m:t>n</m:t>
        </m:r>
        <m:r>
          <m:t>e</m:t>
        </m:r>
        <m:r>
          <m:t>f</m:t>
        </m:r>
        <m:r>
          <m:t>f</m:t>
        </m:r>
        <m:r>
          <m:t>e</m:t>
        </m:r>
        <m:r>
          <m:t>c</m:t>
        </m:r>
        <m:r>
          <m:t>t</m:t>
        </m:r>
        <m:r>
          <m:t>i</m:t>
        </m:r>
        <m:r>
          <m:t>v</m:t>
        </m:r>
        <m:r>
          <m:t>e</m:t>
        </m:r>
        <m:r>
          <m:t>S</m:t>
        </m:r>
        <m:r>
          <m:t>e</m:t>
        </m:r>
        <m:r>
          <m:t>p</m:t>
        </m:r>
        <m:r>
          <m:t>t</m:t>
        </m:r>
        <m:r>
          <m:rPr>
            <m:sty m:val="p"/>
          </m:rPr>
          <m:t>.</m:t>
        </m:r>
        <m:r>
          <m:t>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—</m:t>
        </m:r>
        <m:r>
          <m:t>a</m:t>
        </m:r>
        <m:r>
          <m:t>t</m:t>
        </m:r>
        <m:r>
          <m:t>t</m:t>
        </m:r>
        <m:r>
          <m:t>r</m:t>
        </m:r>
        <m:r>
          <m:t>i</m:t>
        </m:r>
        <m:r>
          <m:t>b</m:t>
        </m:r>
        <m:r>
          <m:t>u</m:t>
        </m:r>
        <m:r>
          <m:t>t</m:t>
        </m:r>
        <m:r>
          <m:t>e</m:t>
        </m:r>
        <m:r>
          <m:t>d</m:t>
        </m:r>
        <m:r>
          <m:t>t</m:t>
        </m:r>
        <m:r>
          <m:t>o</m:t>
        </m:r>
        <m:r>
          <m:t>h</m:t>
        </m:r>
        <m:r>
          <m:t>i</m:t>
        </m:r>
        <m:r>
          <m:t>g</m:t>
        </m:r>
        <m:r>
          <m:t>h</m:t>
        </m:r>
        <m:r>
          <m:t>e</m:t>
        </m:r>
        <m:r>
          <m:t>r</m:t>
        </m:r>
        <m:r>
          <m:t>f</m:t>
        </m:r>
        <m:r>
          <m:t>r</m:t>
        </m:r>
        <m:r>
          <m:t>e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,</m:t>
        </m:r>
        <m:r>
          <m:t>r</m:t>
        </m:r>
        <m:r>
          <m:t>e</m:t>
        </m:r>
        <m:r>
          <m:t>c</m:t>
        </m:r>
        <m:r>
          <m:t>y</m:t>
        </m:r>
        <m:r>
          <m:t>c</m:t>
        </m:r>
        <m:r>
          <m:t>l</m:t>
        </m:r>
        <m:r>
          <m:t>e</m:t>
        </m:r>
        <m:r>
          <m:t>d</m:t>
        </m:r>
        <m:r>
          <m:t>f</m:t>
        </m:r>
        <m:r>
          <m:t>i</m:t>
        </m:r>
        <m:r>
          <m:t>b</m:t>
        </m:r>
        <m:r>
          <m:t>e</m:t>
        </m:r>
        <m:r>
          <m:t>r</m:t>
        </m:r>
        <m:r>
          <m:rPr>
            <m:sty m:val="p"/>
          </m:rPr>
          <m:t>,</m:t>
        </m:r>
        <m:r>
          <m:t>c</m:t>
        </m:r>
        <m:r>
          <m:t>h</m:t>
        </m:r>
        <m:r>
          <m:t>e</m:t>
        </m:r>
        <m:r>
          <m:t>m</m:t>
        </m:r>
        <m:r>
          <m:t>i</m:t>
        </m:r>
        <m:r>
          <m:t>c</m:t>
        </m:r>
        <m:r>
          <m:t>a</m:t>
        </m:r>
        <m:r>
          <m:t>l</m:t>
        </m:r>
        <m:r>
          <m:t>a</m:t>
        </m:r>
        <m:r>
          <m:t>n</m:t>
        </m:r>
        <m:r>
          <m:t>d</m:t>
        </m:r>
        <m:r>
          <m:t>e</m:t>
        </m:r>
        <m:r>
          <m:t>l</m:t>
        </m:r>
        <m:r>
          <m:t>e</m:t>
        </m:r>
        <m:r>
          <m:t>c</m:t>
        </m:r>
        <m:r>
          <m:t>t</m:t>
        </m:r>
        <m:r>
          <m:t>r</m:t>
        </m:r>
        <m:r>
          <m:t>i</m:t>
        </m:r>
        <m:r>
          <m:t>c</m:t>
        </m:r>
        <m:r>
          <m:t>i</m:t>
        </m:r>
        <m:r>
          <m:t>t</m:t>
        </m:r>
        <m:r>
          <m:t>y</m:t>
        </m:r>
        <m:r>
          <m:t>c</m:t>
        </m:r>
        <m:r>
          <m:t>o</m:t>
        </m:r>
        <m:r>
          <m:t>s</m:t>
        </m:r>
        <m:r>
          <m:t>t</m:t>
        </m:r>
        <m:r>
          <m:t>s</m:t>
        </m:r>
        <m:r>
          <m:t>p</m:t>
        </m:r>
        <m:r>
          <m:t>l</m:t>
        </m:r>
        <m:r>
          <m:t>u</m:t>
        </m:r>
        <m:r>
          <m:t>s</m:t>
        </m:r>
        <m:r>
          <m:t>s</m:t>
        </m:r>
        <m:r>
          <m:t>t</m:t>
        </m:r>
        <m:r>
          <m:t>r</m:t>
        </m:r>
        <m:r>
          <m:t>o</m:t>
        </m:r>
        <m:r>
          <m:t>n</m:t>
        </m:r>
        <m:r>
          <m:t>g</m:t>
        </m:r>
        <m:r>
          <m:t>d</m:t>
        </m:r>
        <m:r>
          <m:t>e</m:t>
        </m:r>
        <m:r>
          <m:t>m</m:t>
        </m:r>
        <m:r>
          <m:t>a</m:t>
        </m:r>
        <m:r>
          <m:t>n</m:t>
        </m:r>
        <m:r>
          <m:t>d</m:t>
        </m:r>
        <m:r>
          <m:t>a</m:t>
        </m:r>
        <m:r>
          <m:t>n</m:t>
        </m:r>
        <m:r>
          <m:t>d</m:t>
        </m:r>
        <m:r>
          <m:t>t</m:t>
        </m:r>
        <m:r>
          <m:t>i</m:t>
        </m:r>
        <m:r>
          <m:t>g</m:t>
        </m:r>
        <m:r>
          <m:t>h</m:t>
        </m:r>
        <m:r>
          <m:t>t</m:t>
        </m:r>
        <m:r>
          <m:t>s</m:t>
        </m:r>
        <m:r>
          <m:t>u</m:t>
        </m:r>
        <m:r>
          <m:t>p</m:t>
        </m:r>
        <m:r>
          <m:t>p</m:t>
        </m:r>
        <m:r>
          <m:t>l</m:t>
        </m:r>
        <m:r>
          <m:t>y</m:t>
        </m:r>
        <m:r>
          <m:rPr>
            <m:sty m:val="p"/>
          </m:rPr>
          <m:t>.</m:t>
        </m:r>
        <m:r>
          <m:t>O</m:t>
        </m:r>
        <m:r>
          <m:t>n</m:t>
        </m:r>
        <m:r>
          <m:t>c</m:t>
        </m:r>
        <m:r>
          <m:t>u</m:t>
        </m:r>
        <m:r>
          <m:t>r</m:t>
        </m:r>
        <m:r>
          <m:t>r</m:t>
        </m:r>
        <m:r>
          <m:t>e</m:t>
        </m:r>
        <m:r>
          <m:t>n</m:t>
        </m:r>
        <m:r>
          <m:t>t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s</m:t>
        </m:r>
        <m:r>
          <m:rPr>
            <m:sty m:val="p"/>
          </m:rPr>
          <m:t>(</m:t>
        </m:r>
        <m:r>
          <m:t> </m:t>
        </m:r>
      </m:oMath>
      <w:r>
        <w:t xml:space="preserve">1,045/ton linerboard, ~$935/ton medium), that's roughly an</w:t>
      </w:r>
      <w:r>
        <w:t xml:space="preserve"> </w:t>
      </w:r>
      <w:r>
        <w:rPr>
          <w:b/>
          <w:bCs/>
        </w:rPr>
        <w:t xml:space="preserve">8% increase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J.P. Morgan upgraded IP to Overweight from Neutral, lifting its target to $61 from $51</w:t>
      </w:r>
      <w:r>
        <w:t xml:space="preserve">, on expected price increases.</w:t>
      </w:r>
    </w:p>
    <w:p>
      <w:pPr>
        <w:pStyle w:val="Compact"/>
        <w:numPr>
          <w:ilvl w:val="0"/>
          <w:numId w:val="1001"/>
        </w:numPr>
      </w:pPr>
      <w:r>
        <w:t xml:space="preserve">Context that tempers the euphoria: even after the rally, IP is</w:t>
      </w:r>
      <w:r>
        <w:t xml:space="preserve"> </w:t>
      </w:r>
      <w:r>
        <w:rPr>
          <w:b/>
          <w:bCs/>
        </w:rPr>
        <w:t xml:space="preserve">down ~18% over the trailing 12 months</w:t>
      </w:r>
      <w:r>
        <w:t xml:space="preserve">. This has been a "show me" stock, and the shares fell hard after the Q1 print (from ~$34 pre-report on 4/29 to $30.42 on 4/30).</w:t>
      </w:r>
    </w:p>
    <w:p>
      <w:pPr>
        <w:pStyle w:val="FirstParagraph"/>
      </w:pPr>
      <w:r>
        <w:rPr>
          <w:b/>
          <w:bCs/>
        </w:rPr>
        <w:t xml:space="preserve">Key tension:</w:t>
      </w:r>
      <w:r>
        <w:t xml:space="preserve"> </w:t>
      </w:r>
      <w:r>
        <w:t xml:space="preserve">the September price increase is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in current guidance. Management has repeatedly said guidance only includes</w:t>
      </w:r>
      <w:r>
        <w:t xml:space="preserve"> </w:t>
      </w:r>
      <w:r>
        <w:rPr>
          <w:i/>
          <w:iCs/>
        </w:rPr>
        <w:t xml:space="preserve">published</w:t>
      </w:r>
      <w:r>
        <w:t xml:space="preserve"> </w:t>
      </w:r>
      <w:r>
        <w:t xml:space="preserve">pricing. So the setup is a soft reported quarter against a backdrop where the forward pricing story just got materially better — the call commentary and any framing of the new increase will matter more than the Q2 number itself.</w:t>
      </w:r>
    </w:p>
    <w:p>
      <w:r>
        <w:pict>
          <v:rect style="width:0;height:1.5pt" o:hralign="center" o:hrstd="t" o:hr="t"/>
        </w:pict>
      </w:r>
    </w:p>
    <w:bookmarkEnd w:id="11"/>
    <w:bookmarkStart w:id="12" w:name="what-guidance-says-q2-should-look-like"/>
    <w:p>
      <w:pPr>
        <w:pStyle w:val="Heading2"/>
      </w:pPr>
      <w:r>
        <w:t xml:space="preserve">What guidance says Q2 should look like</w:t>
      </w:r>
    </w:p>
    <w:p>
      <w:pPr>
        <w:pStyle w:val="FirstParagraph"/>
      </w:pPr>
      <w:r>
        <w:t xml:space="preserve">At the Q1 call (4/30), management guided: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Enterprise adjusted EBITDA (continuing ops)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$520–570M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— Packaging Solutions North America</w:t>
            </w:r>
          </w:p>
        </w:tc>
        <w:tc>
          <w:tcPr/>
          <w:p>
            <w:pPr>
              <w:pStyle w:val="Compact"/>
            </w:pPr>
            <w:r>
              <w:t xml:space="preserve">$380–410M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— Packaging Solutions EMEA</w:t>
            </w:r>
          </w:p>
        </w:tc>
        <w:tc>
          <w:tcPr/>
          <w:p>
            <w:pPr>
              <w:pStyle w:val="Compact"/>
            </w:pPr>
            <w:r>
              <w:t xml:space="preserve">$150–170M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Implied earnings from continuing ops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m:oMath>
              <m:r>
                <m:rPr>
                  <m:sty m:val="p"/>
                </m:rPr>
                <m:t>(</m:t>
              </m:r>
              <m:r>
                <m:t>19</m:t>
              </m:r>
              <m:r>
                <m:rPr>
                  <m:sty m:val="p"/>
                </m:rPr>
                <m:t>)</m:t>
              </m:r>
              <m:r>
                <m:t>M</m:t>
              </m:r>
              <m:r>
                <m:t>t</m:t>
              </m:r>
              <m:r>
                <m:t>o</m:t>
              </m:r>
              <m:r>
                <m:rPr>
                  <m:sty m:val="p"/>
                </m:rPr>
                <m:t>+</m:t>
              </m:r>
            </m:oMath>
            <w:r>
              <w:t xml:space="preserve">31M</w:t>
            </w:r>
          </w:p>
        </w:tc>
      </w:tr>
    </w:tbl>
    <w:p>
      <w:pPr>
        <w:pStyle w:val="BodyText"/>
      </w:pPr>
      <w:r>
        <w:t xml:space="preserve">That implies</w:t>
      </w:r>
      <w:r>
        <w:t xml:space="preserve"> </w:t>
      </w:r>
      <w:r>
        <w:rPr>
          <w:b/>
          <w:bCs/>
        </w:rPr>
        <w:t xml:space="preserve">near-breakeven-to-thin EPS</w:t>
      </w:r>
      <w:r>
        <w:t xml:space="preserve"> </w:t>
      </w:r>
      <w:r>
        <w:t xml:space="preserve">at the bottom line for the quarter (diluted share count ~532M). For reference, Q1 2026 delivered $677M adjusted EBITDA and</w:t>
      </w:r>
      <w:r>
        <w:t xml:space="preserve"> </w:t>
      </w:r>
      <m:oMath>
        <m:r>
          <m:t>0.15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E</m:t>
        </m:r>
        <m:r>
          <m:t>P</m:t>
        </m:r>
        <m:r>
          <m:t>S</m:t>
        </m:r>
        <m:r>
          <m:rPr>
            <m:sty m:val="p"/>
          </m:rPr>
          <m:t>.</m:t>
        </m:r>
        <m:r>
          <m:t>S</m:t>
        </m:r>
        <m:r>
          <m:t>o</m:t>
        </m:r>
        <m:r>
          <m:t>Q</m:t>
        </m:r>
        <m:r>
          <m:t>2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t>i</m:t>
        </m:r>
        <m:r>
          <m:t>s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d</m:t>
        </m:r>
        <m:r>
          <m:t>o</m:t>
        </m:r>
        <m:r>
          <m:t>w</m:t>
        </m:r>
        <m:r>
          <m:t>n</m:t>
        </m:r>
        <m:r>
          <m:t> </m:t>
        </m:r>
      </m:oMath>
      <w:r>
        <w:t xml:space="preserve">100M+ sequentially** — this is deliberate, not a surprise if it lands in range.</w:t>
      </w:r>
    </w:p>
    <w:p>
      <w:pPr>
        <w:pStyle w:val="BodyText"/>
      </w:pPr>
      <w:r>
        <w:rPr>
          <w:b/>
          <w:bCs/>
        </w:rPr>
        <w:t xml:space="preserve">Why Q2 is the trough (per management):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North America:</w:t>
      </w:r>
      <w:r>
        <w:t xml:space="preserve"> </w:t>
      </w:r>
      <w:r>
        <w:t xml:space="preserve">roughly</w:t>
      </w:r>
      <w:r>
        <w:t xml:space="preserve"> </w:t>
      </w:r>
      <w:r>
        <w:rPr>
          <w:b/>
          <w:bCs/>
        </w:rPr>
        <w:t xml:space="preserve">2x a normal planned-maintenance outage schedule</w:t>
      </w:r>
      <w:r>
        <w:t xml:space="preserve">, plus downtime and costs for the</w:t>
      </w:r>
      <w:r>
        <w:t xml:space="preserve"> </w:t>
      </w:r>
      <w:r>
        <w:rPr>
          <w:b/>
          <w:bCs/>
        </w:rPr>
        <w:t xml:space="preserve">Riverdale paper-machine conversion</w:t>
      </w:r>
      <w:r>
        <w:t xml:space="preserve"> </w:t>
      </w:r>
      <w:r>
        <w:t xml:space="preserve">(a ~</w:t>
      </w:r>
      <m:oMath>
        <m:r>
          <m:t>100</m:t>
        </m:r>
        <m:r>
          <m:t>M</m:t>
        </m:r>
        <m:r>
          <m:t>f</m:t>
        </m:r>
        <m:r>
          <m:t>i</m:t>
        </m:r>
        <m:r>
          <m:t>r</m:t>
        </m:r>
        <m:r>
          <m:t>s</m:t>
        </m:r>
        <m:r>
          <m:t>t</m:t>
        </m:r>
        <m:r>
          <m:rPr>
            <m:sty m:val="p"/>
          </m:rPr>
          <m:t>−</m:t>
        </m:r>
        <m:r>
          <m:t>h</m:t>
        </m:r>
        <m:r>
          <m:t>a</m:t>
        </m:r>
        <m:r>
          <m:t>l</m:t>
        </m:r>
        <m:r>
          <m:t>f</m:t>
        </m:r>
        <m:r>
          <m:t>d</m:t>
        </m:r>
        <m:r>
          <m:t>r</m:t>
        </m:r>
        <m:r>
          <m:t>a</m:t>
        </m:r>
        <m:r>
          <m:t>g</m:t>
        </m:r>
        <m:r>
          <m:t>t</m:t>
        </m:r>
        <m:r>
          <m:t>h</m:t>
        </m:r>
        <m:r>
          <m:t>a</m:t>
        </m:r>
        <m:r>
          <m:t>t</m:t>
        </m:r>
        <m:r>
          <m:t>d</m:t>
        </m:r>
        <m:r>
          <m:t>o</m:t>
        </m:r>
        <m:r>
          <m:t>e</m:t>
        </m:r>
        <m:r>
          <m:t>s</m:t>
        </m:r>
        <m:r>
          <m:t>n</m:t>
        </m:r>
        <m:r>
          <m:t>o</m:t>
        </m:r>
        <m:r>
          <m:t>t</m:t>
        </m:r>
        <m:r>
          <m:t>r</m:t>
        </m:r>
        <m:r>
          <m:t>e</m:t>
        </m:r>
        <m:r>
          <m:t>p</m:t>
        </m:r>
        <m:r>
          <m:t>e</m:t>
        </m:r>
        <m:r>
          <m:t>a</m:t>
        </m:r>
        <m:r>
          <m:t>t</m:t>
        </m:r>
        <m:r>
          <m:t>i</m:t>
        </m:r>
        <m:r>
          <m:t>n</m:t>
        </m:r>
        <m:r>
          <m:t>2</m:t>
        </m:r>
        <m:r>
          <m:t>H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P</m:t>
        </m:r>
        <m:r>
          <m:t>a</m:t>
        </m:r>
        <m:r>
          <m:t>r</m:t>
        </m:r>
        <m:r>
          <m:t>t</m:t>
        </m:r>
        <m:r>
          <m:t>l</m:t>
        </m:r>
        <m:r>
          <m:t>y</m:t>
        </m:r>
        <m:r>
          <m:t>o</m:t>
        </m:r>
        <m:r>
          <m:t>f</m:t>
        </m:r>
        <m:r>
          <m:t>f</m:t>
        </m:r>
        <m:r>
          <m:t>s</m:t>
        </m:r>
        <m:r>
          <m:t>e</m:t>
        </m:r>
        <m:r>
          <m:t>t</m:t>
        </m:r>
        <m:r>
          <m:t>b</m:t>
        </m:r>
        <m:r>
          <m:t>y</m:t>
        </m:r>
        <m:r>
          <m:t>s</m:t>
        </m:r>
        <m:r>
          <m:t>e</m:t>
        </m:r>
        <m:r>
          <m:t>a</m:t>
        </m:r>
        <m:r>
          <m:t>s</m:t>
        </m:r>
        <m:r>
          <m:t>o</m:t>
        </m:r>
        <m:r>
          <m:t>n</m:t>
        </m:r>
        <m:r>
          <m:t>a</m:t>
        </m:r>
        <m:r>
          <m:t>l</m:t>
        </m:r>
        <m:r>
          <m:t>v</m:t>
        </m:r>
        <m:r>
          <m:t>o</m:t>
        </m:r>
        <m:r>
          <m:t>l</m:t>
        </m:r>
        <m:r>
          <m:t>u</m:t>
        </m:r>
        <m:r>
          <m:t>m</m:t>
        </m:r>
        <m:r>
          <m:t>e</m:t>
        </m:r>
        <m:r>
          <m:t>p</m:t>
        </m:r>
        <m:r>
          <m:t>i</m:t>
        </m:r>
        <m:r>
          <m:t>c</m:t>
        </m:r>
        <m:r>
          <m:t>k</m:t>
        </m:r>
        <m:r>
          <m:t>u</m:t>
        </m:r>
        <m:r>
          <m:t>p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3</m:t>
        </m:r>
      </m:oMath>
      <w:r>
        <w:t xml:space="preserve">50M winter-storm hit.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EMEA:</w:t>
      </w:r>
      <w:r>
        <w:t xml:space="preserve"> </w:t>
      </w:r>
      <w:r>
        <w:t xml:space="preserve">"peak margin compression" — energy-driven paper cost increases hit immediately, while box pricing lags 3–6 months. The €100/ton paper increase (~€300M annualized) flows to costs first, pricing later.</w:t>
      </w:r>
    </w:p>
    <w:p>
      <w:r>
        <w:pict>
          <v:rect style="width:0;height:1.5pt" o:hralign="center" o:hrstd="t" o:hr="t"/>
        </w:pict>
      </w:r>
    </w:p>
    <w:bookmarkEnd w:id="12"/>
    <w:bookmarkStart w:id="13" w:name="X3d0fb84120553111e9d2f96c43ad7da81133c67"/>
    <w:p>
      <w:pPr>
        <w:pStyle w:val="Heading2"/>
      </w:pPr>
      <w:r>
        <w:t xml:space="preserve">The full-year framework (and why it was cut)</w:t>
      </w:r>
    </w:p>
    <w:p>
      <w:pPr>
        <w:pStyle w:val="FirstParagraph"/>
      </w:pPr>
      <w:r>
        <w:t xml:space="preserve">The 2026 outlook was</w:t>
      </w:r>
      <w:r>
        <w:t xml:space="preserve"> </w:t>
      </w:r>
      <w:r>
        <w:rPr>
          <w:b/>
          <w:bCs/>
        </w:rPr>
        <w:t xml:space="preserve">lowered at Q1</w:t>
      </w:r>
      <w:r>
        <w:t xml:space="preserve"> </w:t>
      </w:r>
      <w:r>
        <w:t xml:space="preserve">to **</w:t>
      </w:r>
      <m:oMath>
        <m:r>
          <m:t>3.20</m:t>
        </m:r>
        <m:r>
          <m:rPr>
            <m:sty m:val="p"/>
          </m:rPr>
          <m:t>–</m:t>
        </m:r>
        <m:r>
          <m:t>3.50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e</m:t>
        </m:r>
        <m:r>
          <m:t>n</m:t>
        </m:r>
        <m:r>
          <m:t>t</m:t>
        </m:r>
        <m:r>
          <m:t>e</m:t>
        </m:r>
        <m:r>
          <m:t>r</m:t>
        </m:r>
        <m:r>
          <m:t>p</m:t>
        </m:r>
        <m:r>
          <m:t>r</m:t>
        </m:r>
        <m:r>
          <m:t>i</m:t>
        </m:r>
        <m:r>
          <m:t>s</m:t>
        </m:r>
        <m:r>
          <m:t>e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rPr>
            <m:sty m:val="p"/>
          </m:rPr>
          <m:t>(</m:t>
        </m:r>
        <m:r>
          <m:t>f</m:t>
        </m:r>
        <m:r>
          <m:t>r</m:t>
        </m:r>
        <m:r>
          <m:t>o</m:t>
        </m:r>
        <m:r>
          <m:t>m</m:t>
        </m:r>
        <m:r>
          <m:t>a</m:t>
        </m:r>
        <m:r>
          <m:t>p</m:t>
        </m:r>
        <m:r>
          <m:t>r</m:t>
        </m:r>
        <m:r>
          <m:t>i</m:t>
        </m:r>
        <m:r>
          <m:t>o</m:t>
        </m:r>
        <m:r>
          <m:t>r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d</m:t>
        </m:r>
        <m:r>
          <m:t> </m:t>
        </m:r>
      </m:oMath>
      <w:r>
        <w:t xml:space="preserve">3.5–3.7B), with: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PS North America: $2.35–2.50B</w:t>
      </w:r>
      <w:r>
        <w:t xml:space="preserve"> </w:t>
      </w:r>
      <w:r>
        <w:t xml:space="preserve">(cut from $2.5–2.6B)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PS EMEA: $0.90–1.00B</w:t>
      </w:r>
      <w:r>
        <w:t xml:space="preserve"> </w:t>
      </w:r>
      <w:r>
        <w:t xml:space="preserve">(cut from $1.0–1.1B)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Free cash flow: ~$300–500M</w:t>
      </w:r>
    </w:p>
    <w:p>
      <w:pPr>
        <w:pStyle w:val="FirstParagraph"/>
      </w:pPr>
      <w:r>
        <w:t xml:space="preserve">The NA cut was bridged as:</w:t>
      </w:r>
      <w:r>
        <w:t xml:space="preserve"> </w:t>
      </w:r>
      <w:r>
        <w:rPr>
          <w:b/>
          <w:bCs/>
        </w:rPr>
        <w:t xml:space="preserve">+</w:t>
      </w:r>
      <m:oMath>
        <m:r>
          <m:t>175</m:t>
        </m:r>
        <m:r>
          <m:t>M</m:t>
        </m:r>
        <m:r>
          <m:t>p</m:t>
        </m:r>
        <m:r>
          <m:t>r</m:t>
        </m:r>
        <m:r>
          <m:t>i</m:t>
        </m:r>
        <m:r>
          <m:t>c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o</m:t>
        </m:r>
        <m:r>
          <m:t>f</m:t>
        </m:r>
        <m:r>
          <m:t>f</m:t>
        </m:r>
        <m:r>
          <m:t>s</m:t>
        </m:r>
        <m:r>
          <m:t>e</m:t>
        </m:r>
        <m:r>
          <m:t>t</m:t>
        </m:r>
        <m:r>
          <m:t>b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–</m:t>
        </m:r>
      </m:oMath>
      <w:r>
        <w:rPr>
          <w:b/>
          <w:bCs/>
        </w:rPr>
        <w:t xml:space="preserve">200M macro</w:t>
      </w:r>
      <w:r>
        <w:t xml:space="preserve"> </w:t>
      </w:r>
      <w:r>
        <w:t xml:space="preserve">(diesel, chemicals, OCC inflation, softer demand),</w:t>
      </w:r>
      <w:r>
        <w:t xml:space="preserve"> </w:t>
      </w:r>
      <w:r>
        <w:rPr>
          <w:b/>
          <w:bCs/>
        </w:rPr>
        <w:t xml:space="preserve">–</w:t>
      </w:r>
      <m:oMath>
        <m:r>
          <m:t>75</m:t>
        </m:r>
        <m:r>
          <m:t>M</m:t>
        </m:r>
        <m:r>
          <m:t>p</m:t>
        </m:r>
        <m:r>
          <m:t>e</m:t>
        </m:r>
        <m:r>
          <m:t>r</m:t>
        </m:r>
        <m:r>
          <m:t>f</m:t>
        </m:r>
        <m:r>
          <m:t>o</m:t>
        </m:r>
        <m:r>
          <m:t>r</m:t>
        </m:r>
        <m:r>
          <m:t>m</m:t>
        </m:r>
        <m:r>
          <m:t>a</m:t>
        </m:r>
        <m:r>
          <m:t>n</m:t>
        </m:r>
        <m:r>
          <m:t>c</m:t>
        </m:r>
        <m:r>
          <m:t>e</m:t>
        </m:r>
        <m:r>
          <m:rPr>
            <m:sty m:val="p"/>
          </m:rPr>
          <m:t>/</m:t>
        </m:r>
        <m:r>
          <m:t>r</m:t>
        </m:r>
        <m:r>
          <m:t>e</m:t>
        </m:r>
        <m:r>
          <m:t>l</m:t>
        </m:r>
        <m:r>
          <m:t>i</m:t>
        </m:r>
        <m:r>
          <m:t>a</m:t>
        </m:r>
        <m:r>
          <m:t>b</m:t>
        </m:r>
        <m:r>
          <m:t>i</m:t>
        </m:r>
        <m:r>
          <m:t>l</m:t>
        </m:r>
        <m:r>
          <m:t>i</m:t>
        </m:r>
        <m:r>
          <m:t>t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–</m:t>
        </m:r>
      </m:oMath>
      <w:r>
        <w:rPr>
          <w:b/>
          <w:bCs/>
        </w:rPr>
        <w:t xml:space="preserve">50M winter weather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The crux of the whole thesis is the 2H step-up:</w:t>
      </w:r>
      <w:r>
        <w:t xml:space="preserve"> </w:t>
      </w:r>
      <w:r>
        <w:t xml:space="preserve">management guided ~</w:t>
      </w:r>
      <m:oMath>
        <m:r>
          <m:t>900</m:t>
        </m:r>
        <m:r>
          <m:t>M</m:t>
        </m:r>
        <m:r>
          <m:t>o</m:t>
        </m:r>
        <m:r>
          <m:t>f</m:t>
        </m:r>
        <m:r>
          <m:t>N</m:t>
        </m:r>
        <m:r>
          <m:t>A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t>i</m:t>
        </m:r>
        <m:r>
          <m:t>n</m:t>
        </m:r>
        <m:r>
          <m:t>1</m:t>
        </m:r>
        <m:r>
          <m:t>H</m:t>
        </m:r>
        <m:r>
          <m:t>a</m:t>
        </m:r>
        <m:r>
          <m:t>n</m:t>
        </m:r>
        <m:r>
          <m:t>d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650M step-up in 2H**, driven by ~</w:t>
      </w:r>
      <m:oMath>
        <m:r>
          <m:t>300</m:t>
        </m:r>
        <m:r>
          <m:t>M</m:t>
        </m:r>
        <m:r>
          <m:t>p</m:t>
        </m:r>
        <m:r>
          <m:t>r</m:t>
        </m:r>
        <m:r>
          <m:t>i</m:t>
        </m:r>
        <m:r>
          <m:t>c</m:t>
        </m:r>
        <m:r>
          <m:t>i</m:t>
        </m:r>
        <m:r>
          <m:t>n</m:t>
        </m:r>
        <m:r>
          <m:t>g</m:t>
        </m:r>
        <m:r>
          <m:rPr>
            <m:sty m:val="p"/>
          </m:rPr>
          <m:t>/</m:t>
        </m:r>
        <m:r>
          <m:t>v</m:t>
        </m:r>
        <m:r>
          <m:t>o</m:t>
        </m:r>
        <m:r>
          <m:t>l</m:t>
        </m:r>
        <m:r>
          <m:t>u</m:t>
        </m:r>
        <m:r>
          <m:t>m</m:t>
        </m:r>
        <m:r>
          <m:t>e</m:t>
        </m:r>
        <m:r>
          <m:rPr>
            <m:sty m:val="p"/>
          </m:rPr>
          <m:t>/</m:t>
        </m:r>
        <m:r>
          <m:t>m</m:t>
        </m:r>
        <m:r>
          <m:t>i</m:t>
        </m:r>
        <m:r>
          <m:t>x</m:t>
        </m:r>
        <m:r>
          <m:rPr>
            <m:sty m:val="p"/>
          </m:rPr>
          <m:t>/</m:t>
        </m:r>
        <m:r>
          <m:t>s</m:t>
        </m:r>
        <m:r>
          <m:t>e</m:t>
        </m:r>
        <m:r>
          <m:t>a</m:t>
        </m:r>
        <m:r>
          <m:t>s</m:t>
        </m:r>
        <m:r>
          <m:t>o</m:t>
        </m:r>
        <m:r>
          <m:t>n</m:t>
        </m:r>
        <m:r>
          <m:t>a</m:t>
        </m:r>
        <m:r>
          <m:t>l</m:t>
        </m:r>
        <m:r>
          <m:t>i</m:t>
        </m:r>
        <m:r>
          <m:t>t</m:t>
        </m:r>
        <m:r>
          <m:t>y</m:t>
        </m:r>
        <m:r>
          <m:rPr>
            <m:sty m:val="p"/>
          </m:rPr>
          <m:t>,</m:t>
        </m:r>
        <m:r>
          <m:t> </m:t>
        </m:r>
      </m:oMath>
      <w:r>
        <w:t xml:space="preserve">150M of 80/20 cost-out, ~</w:t>
      </w:r>
      <m:oMath>
        <m:r>
          <m:t>150</m:t>
        </m:r>
        <m:r>
          <m:t>M</m:t>
        </m:r>
        <m:r>
          <m:t>l</m:t>
        </m:r>
        <m:r>
          <m:t>o</m:t>
        </m:r>
        <m:r>
          <m:t>w</m:t>
        </m:r>
        <m:r>
          <m:t>e</m:t>
        </m:r>
        <m:r>
          <m:t>r</m:t>
        </m:r>
        <m:r>
          <m:t>o</m:t>
        </m:r>
        <m:r>
          <m:t>u</m:t>
        </m:r>
        <m:r>
          <m:t>t</m:t>
        </m:r>
        <m:r>
          <m:t>a</m:t>
        </m:r>
        <m:r>
          <m:t>g</m:t>
        </m:r>
        <m:r>
          <m:t>e</m:t>
        </m:r>
        <m:r>
          <m:t>s</m:t>
        </m:r>
        <m:r>
          <m:t>p</m:t>
        </m:r>
        <m:r>
          <m:t>e</m:t>
        </m:r>
        <m:r>
          <m:t>n</m:t>
        </m:r>
        <m:r>
          <m:t>d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 </m:t>
        </m:r>
      </m:oMath>
      <w:r>
        <w:t xml:space="preserve">100M non-repeat of Riverdale — partly offset by ~$50M of continued macro pressure. EMEA has a similar 2H recovery story on margin catch-up and cost-out.</w:t>
      </w:r>
    </w:p>
    <w:p>
      <w:pPr>
        <w:pStyle w:val="BodyText"/>
      </w:pPr>
      <w:r>
        <w:rPr>
          <w:b/>
          <w:bCs/>
        </w:rPr>
        <w:t xml:space="preserve">What to interrogate on the call: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Is full-year guidance reaffirmed, raised, or trimmed?</w:t>
      </w:r>
      <w:r>
        <w:t xml:space="preserve"> </w:t>
      </w:r>
      <w:r>
        <w:t xml:space="preserve">With the September $80/ton increase and PKG's $140/ton move, there's now upside to the pricing assumption — but also lingering diesel/OCC cost inflation. Watch whether management signals the new pricing lifts the back half or 2027.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2H "hockey stick" credibility.</w:t>
      </w:r>
      <w:r>
        <w:t xml:space="preserve"> </w:t>
      </w:r>
      <w:r>
        <w:t xml:space="preserve">On the Q1 call, management said the pieces they feel</w:t>
      </w:r>
      <w:r>
        <w:t xml:space="preserve"> </w:t>
      </w:r>
      <w:r>
        <w:rPr>
          <w:i/>
          <w:iCs/>
        </w:rPr>
        <w:t xml:space="preserve">least</w:t>
      </w:r>
      <w:r>
        <w:t xml:space="preserve"> </w:t>
      </w:r>
      <w:r>
        <w:t xml:space="preserve">sure about are the ~</w:t>
      </w:r>
      <m:oMath>
        <m:r>
          <m:t>150</m:t>
        </m:r>
        <m:r>
          <m:t>M</m:t>
        </m:r>
        <m:r>
          <m:t>o</m:t>
        </m:r>
        <m:r>
          <m:t>f</m:t>
        </m:r>
        <m:r>
          <m:t>80</m:t>
        </m:r>
        <m:r>
          <m:rPr>
            <m:sty m:val="p"/>
          </m:rPr>
          <m:t>/</m:t>
        </m:r>
        <m:r>
          <m:t>20</m:t>
        </m:r>
        <m:r>
          <m:t>c</m:t>
        </m:r>
        <m:r>
          <m:t>o</m:t>
        </m:r>
        <m:r>
          <m:t>s</m:t>
        </m:r>
        <m:r>
          <m:t>t</m:t>
        </m:r>
        <m:r>
          <m:rPr>
            <m:sty m:val="p"/>
          </m:rPr>
          <m:t>−</m:t>
        </m:r>
        <m:r>
          <m:t>o</m:t>
        </m:r>
        <m:r>
          <m:t>u</m:t>
        </m:r>
        <m:r>
          <m:t>t</m:t>
        </m:r>
        <m:r>
          <m:rPr>
            <m:sty m:val="p"/>
          </m:rPr>
          <m:t>(</m:t>
        </m:r>
        <m:r>
          <m:t>f</m:t>
        </m:r>
        <m:r>
          <m:t>o</m:t>
        </m:r>
        <m:r>
          <m:t>o</m:t>
        </m:r>
        <m:r>
          <m:t>t</m:t>
        </m:r>
        <m:r>
          <m:t>p</m:t>
        </m:r>
        <m:r>
          <m:t>r</m:t>
        </m:r>
        <m:r>
          <m:t>i</m:t>
        </m:r>
        <m:r>
          <m:t>n</m:t>
        </m:r>
        <m:r>
          <m:t>t</m:t>
        </m:r>
        <m:r>
          <m:rPr>
            <m:sty m:val="p"/>
          </m:rPr>
          <m:t>,</m:t>
        </m:r>
        <m:r>
          <m:t>m</m:t>
        </m:r>
        <m:r>
          <m:t>i</m:t>
        </m:r>
        <m:r>
          <m:t>l</m:t>
        </m:r>
        <m:r>
          <m:t>l</m:t>
        </m:r>
        <m:r>
          <m:t>u</m:t>
        </m:r>
        <m:r>
          <m:t>t</m:t>
        </m:r>
        <m:r>
          <m:t>i</m:t>
        </m:r>
        <m:r>
          <m:t>l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t>s</m:t>
        </m:r>
        <m:r>
          <m:t>u</m:t>
        </m:r>
        <m:r>
          <m:t>p</m:t>
        </m:r>
        <m:r>
          <m:t>p</m:t>
        </m:r>
        <m:r>
          <m:t>l</m:t>
        </m:r>
        <m:r>
          <m:t>y</m:t>
        </m:r>
        <m:r>
          <m:rPr>
            <m:sty m:val="p"/>
          </m:rPr>
          <m:t>−</m:t>
        </m:r>
        <m:r>
          <m:t>c</m:t>
        </m:r>
        <m:r>
          <m:t>h</m:t>
        </m:r>
        <m:r>
          <m:t>a</m:t>
        </m:r>
        <m:r>
          <m:t>i</m:t>
        </m:r>
        <m:r>
          <m:t>n</m:t>
        </m:r>
        <m:r>
          <m:rPr>
            <m:sty m:val="p"/>
          </m:rPr>
          <m:t>/</m:t>
        </m:r>
        <m:r>
          <m:t>c</m:t>
        </m:r>
        <m:r>
          <m:t>u</m:t>
        </m:r>
        <m:r>
          <m:t>b</m:t>
        </m:r>
        <m:r>
          <m:t>e</m:t>
        </m:r>
        <m:r>
          <m:t>e</m:t>
        </m:r>
        <m:r>
          <m:t>f</m:t>
        </m:r>
        <m:r>
          <m:t>f</m:t>
        </m:r>
        <m:r>
          <m:t>i</m:t>
        </m:r>
        <m:r>
          <m:t>c</m:t>
        </m:r>
        <m:r>
          <m:t>i</m:t>
        </m:r>
        <m:r>
          <m:t>e</m:t>
        </m:r>
        <m:r>
          <m:t>n</m:t>
        </m:r>
        <m:r>
          <m:t>c</m:t>
        </m:r>
        <m:r>
          <m:t>y</m:t>
        </m:r>
        <m:r>
          <m:rPr>
            <m:sty m:val="p"/>
          </m:rPr>
          <m:t>)</m:t>
        </m:r>
        <m:r>
          <m:t>a</m:t>
        </m:r>
        <m:r>
          <m:t>n</m:t>
        </m:r>
        <m:r>
          <m:t>d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50M macro. Any Q2 evidence of cost-out traction de-risks the 2H.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2027 target of ~$5B EBITDA.</w:t>
      </w:r>
      <w:r>
        <w:t xml:space="preserve"> </w:t>
      </w:r>
      <w:r>
        <w:t xml:space="preserve">Management reiterated the bridge relies on incremental pricing (half of NA's net $50/ton this year, half next; EMEA €100 mostly next year), modest market growth, share wins, and cost-out. The new price hikes are additive to this.</w:t>
      </w:r>
    </w:p>
    <w:p>
      <w:r>
        <w:pict>
          <v:rect style="width:0;height:1.5pt" o:hralign="center" o:hrstd="t" o:hr="t"/>
        </w:pict>
      </w:r>
    </w:p>
    <w:bookmarkEnd w:id="13"/>
    <w:bookmarkStart w:id="14" w:name="segment-watch-items"/>
    <w:p>
      <w:pPr>
        <w:pStyle w:val="Heading2"/>
      </w:pPr>
      <w:r>
        <w:t xml:space="preserve">Segment watch items</w:t>
      </w:r>
    </w:p>
    <w:p>
      <w:pPr>
        <w:pStyle w:val="FirstParagraph"/>
      </w:pPr>
      <w:r>
        <w:rPr>
          <w:b/>
          <w:bCs/>
        </w:rPr>
        <w:t xml:space="preserve">Packaging Solutions North America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Volume outperformance is the bright spot.</w:t>
      </w:r>
      <w:r>
        <w:t xml:space="preserve"> </w:t>
      </w:r>
      <w:r>
        <w:t xml:space="preserve">IP has beaten the industry for three straight quarters (Q1 NA box volumes +2.5% YoY/day vs. industry –0.3%); Q2 guided ~+3% vs. flat industry, FY ~+2% above market on known customer wins secured without aggressive pricing. Confirm this streak continued.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Pricing flow-through:</w:t>
      </w:r>
      <w:r>
        <w:t xml:space="preserve"> </w:t>
      </w:r>
      <w:r>
        <w:t xml:space="preserve">the published NA moves (Feb –</w:t>
      </w:r>
      <m:oMath>
        <m:r>
          <m:t>20</m:t>
        </m:r>
        <m:r>
          <m:rPr>
            <m:sty m:val="p"/>
          </m:rPr>
          <m:t>,</m:t>
        </m:r>
        <m:r>
          <m:t>M</m:t>
        </m:r>
        <m:r>
          <m:t>a</m:t>
        </m:r>
        <m:r>
          <m:t>r</m:t>
        </m:r>
        <m:r>
          <m:rPr>
            <m:sty m:val="p"/>
          </m:rPr>
          <m:t>+</m:t>
        </m:r>
      </m:oMath>
      <w:r>
        <w:t xml:space="preserve">40, Apr +</w:t>
      </w:r>
      <m:oMath>
        <m:r>
          <m:t>30</m:t>
        </m:r>
        <m:r>
          <m:rPr>
            <m:sty m:val="p"/>
          </m:rPr>
          <m:t>=</m:t>
        </m:r>
        <m:r>
          <m:t>n</m:t>
        </m:r>
        <m:r>
          <m:t>e</m:t>
        </m:r>
        <m:r>
          <m:t>t</m:t>
        </m:r>
        <m:r>
          <m:rPr>
            <m:sty m:val="p"/>
          </m:rPr>
          <m:t>+</m:t>
        </m:r>
      </m:oMath>
      <w:r>
        <w:t xml:space="preserve">50/ton) begin benefiting results in</w:t>
      </w:r>
      <w:r>
        <w:t xml:space="preserve"> </w:t>
      </w:r>
      <w:r>
        <w:rPr>
          <w:b/>
          <w:bCs/>
        </w:rPr>
        <w:t xml:space="preserve">Q3</w:t>
      </w:r>
      <w:r>
        <w:t xml:space="preserve">, not Q2. Look for confirmation of the</w:t>
      </w:r>
      <w:r>
        <w:t xml:space="preserve"> </w:t>
      </w:r>
      <w:r>
        <w:rPr>
          <w:b/>
          <w:bCs/>
        </w:rPr>
        <w:t xml:space="preserve">Sept. 1 $80/ton increase</w:t>
      </w:r>
      <w:r>
        <w:t xml:space="preserve"> </w:t>
      </w:r>
      <w:r>
        <w:t xml:space="preserve">and its realization cadence.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Reliability/execution</w:t>
      </w:r>
      <w:r>
        <w:t xml:space="preserve"> </w:t>
      </w:r>
      <w:r>
        <w:t xml:space="preserve">— management's own admitted weak spot. They flagged ~$100M of "quasi-one-time" transformation/contract costs (including the Sylvamo contract that ended in April) this year that should not repeat. Mill reliability reportedly "inflected positively" post-winter-storm; investors want proof it's sticking.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NORPAC (Longview, WA) acquisition</w:t>
      </w:r>
      <w:r>
        <w:t xml:space="preserve"> </w:t>
      </w:r>
      <w:r>
        <w:t xml:space="preserve">(~$360M, 3 machines) — integration progress and the "high-teens+ ROIC by 2027" claim; helps close a West Coast paper shortfall.</w:t>
      </w:r>
    </w:p>
    <w:p>
      <w:pPr>
        <w:pStyle w:val="FirstParagraph"/>
      </w:pPr>
      <w:r>
        <w:rPr>
          <w:b/>
          <w:bCs/>
        </w:rPr>
        <w:t xml:space="preserve">Packaging Solutions EMEA</w:t>
      </w:r>
    </w:p>
    <w:p>
      <w:pPr>
        <w:pStyle w:val="Compact"/>
        <w:numPr>
          <w:ilvl w:val="0"/>
          <w:numId w:val="1006"/>
        </w:numPr>
      </w:pPr>
      <w:r>
        <w:t xml:space="preserve">Q2 is the</w:t>
      </w:r>
      <w:r>
        <w:t xml:space="preserve"> </w:t>
      </w:r>
      <w:r>
        <w:rPr>
          <w:b/>
          <w:bCs/>
        </w:rPr>
        <w:t xml:space="preserve">margin-squeeze trough</w:t>
      </w:r>
      <w:r>
        <w:t xml:space="preserve">; the question is whether 2H margin recovery (as €100/ton flows into box contracts) is on track.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Cost-out:</w:t>
      </w:r>
      <w:r>
        <w:t xml:space="preserve"> </w:t>
      </w:r>
      <w:r>
        <w:t xml:space="preserve">run-rate savings had risen to **&gt;</w:t>
      </w:r>
      <m:oMath>
        <m:r>
          <m:t>200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31</m:t>
        </m:r>
        <m:r>
          <m:t>c</m:t>
        </m:r>
        <m:r>
          <m:t>l</m:t>
        </m:r>
        <m:r>
          <m:t>o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d</m:t>
        </m:r>
        <m:r>
          <m:t>o</m:t>
        </m:r>
        <m:r>
          <m:t>n</m:t>
        </m:r>
        <m:r>
          <m:t>e</m:t>
        </m:r>
        <m:r>
          <m:rPr>
            <m:sty m:val="p"/>
          </m:rPr>
          <m:t>/</m:t>
        </m:r>
        <m:r>
          <m:t>i</m:t>
        </m:r>
        <m:r>
          <m:t>n</m:t>
        </m:r>
        <m:r>
          <m:t>p</m:t>
        </m:r>
        <m:r>
          <m:t>r</m:t>
        </m:r>
        <m:r>
          <m:t>o</m:t>
        </m:r>
        <m:r>
          <m:t>c</m:t>
        </m:r>
        <m:r>
          <m:t>e</m:t>
        </m:r>
        <m:r>
          <m:t>s</m:t>
        </m:r>
        <m:r>
          <m:t>s</m:t>
        </m:r>
        <m:r>
          <m:rPr>
            <m:sty m:val="p"/>
          </m:rPr>
          <m:t>,</m:t>
        </m:r>
        <m:r>
          <m:t> </m:t>
        </m:r>
        <m:r>
          <m:t>2</m:t>
        </m:r>
        <m:r>
          <m:rPr>
            <m:sty m:val="p"/>
          </m:rPr>
          <m:t>,</m:t>
        </m:r>
        <m:r>
          <m:t>800</m:t>
        </m:r>
        <m:r>
          <m:t>p</m:t>
        </m:r>
        <m:r>
          <m:t>o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a</m:t>
        </m:r>
        <m:r>
          <m:t>n</m:t>
        </m:r>
        <m:r>
          <m:t>o</m:t>
        </m:r>
        <m:r>
          <m:t>t</m:t>
        </m:r>
        <m:r>
          <m:t>h</m:t>
        </m:r>
        <m:r>
          <m:t>e</m:t>
        </m:r>
        <m:r>
          <m:t>r</m:t>
        </m:r>
        <m:r>
          <m:t> </m:t>
        </m:r>
      </m:oMath>
      <w:r>
        <w:t xml:space="preserve">100M identified. Watch for an updated figure.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Demand:</w:t>
      </w:r>
      <w:r>
        <w:t xml:space="preserve"> </w:t>
      </w:r>
      <w:r>
        <w:t xml:space="preserve">European market growth trimmed to ~0.5–1 pt; IP has slightly underperformed on volume while holding price discipline.</w:t>
      </w:r>
    </w:p>
    <w:p>
      <w:r>
        <w:pict>
          <v:rect style="width:0;height:1.5pt" o:hralign="center" o:hrstd="t" o:hr="t"/>
        </w:pict>
      </w:r>
    </w:p>
    <w:bookmarkEnd w:id="14"/>
    <w:bookmarkStart w:id="15" w:name="X9d1b2ec4c53d9461cff449f219d0dd6c941b164"/>
    <w:p>
      <w:pPr>
        <w:pStyle w:val="Heading2"/>
      </w:pPr>
      <w:r>
        <w:t xml:space="preserve">The bigger structural story: the EMEA separation</w:t>
      </w:r>
    </w:p>
    <w:p>
      <w:pPr>
        <w:pStyle w:val="FirstParagraph"/>
      </w:pPr>
      <w:r>
        <w:t xml:space="preserve">IP plans to</w:t>
      </w:r>
      <w:r>
        <w:t xml:space="preserve"> </w:t>
      </w:r>
      <w:r>
        <w:rPr>
          <w:b/>
          <w:bCs/>
        </w:rPr>
        <w:t xml:space="preserve">split into two publicly traded companies</w:t>
      </w:r>
      <w:r>
        <w:t xml:space="preserve"> </w:t>
      </w:r>
      <w:r>
        <w:t xml:space="preserve">(North America and EMEA). As of Q1, the separation was</w:t>
      </w:r>
      <w:r>
        <w:t xml:space="preserve"> </w:t>
      </w:r>
      <w:r>
        <w:rPr>
          <w:b/>
          <w:bCs/>
        </w:rPr>
        <w:t xml:space="preserve">on track for a 12–15 month timeline</w:t>
      </w:r>
      <w:r>
        <w:t xml:space="preserve">, with IP retaining ~20% of EMEA for 12–18 months, EMEA dual-listed on LSE and NYSE, and both entities expected to be investment-grade.</w:t>
      </w:r>
      <w:r>
        <w:t xml:space="preserve"> </w:t>
      </w:r>
      <w:r>
        <w:rPr>
          <w:b/>
          <w:bCs/>
        </w:rPr>
        <w:t xml:space="preserve">Any updated timing, structure, or cost detail is a key incremental catalyst</w:t>
      </w:r>
      <w:r>
        <w:t xml:space="preserve"> </w:t>
      </w:r>
      <w:r>
        <w:t xml:space="preserve">— this is arguably a bigger long-term value driver than the quarter.</w:t>
      </w:r>
    </w:p>
    <w:p>
      <w:pPr>
        <w:pStyle w:val="BodyText"/>
      </w:pPr>
      <w:r>
        <w:t xml:space="preserve">Also note the</w:t>
      </w:r>
      <w:r>
        <w:t xml:space="preserve"> </w:t>
      </w:r>
      <w:r>
        <w:rPr>
          <w:b/>
          <w:bCs/>
        </w:rPr>
        <w:t xml:space="preserve">7/17 board refresh</w:t>
      </w:r>
      <w:r>
        <w:t xml:space="preserve"> </w:t>
      </w:r>
      <w:r>
        <w:t xml:space="preserve">(two new independent directors added, two retiring) — governance housekeeping ahead of the separation.</w:t>
      </w:r>
    </w:p>
    <w:p>
      <w:r>
        <w:pict>
          <v:rect style="width:0;height:1.5pt" o:hralign="center" o:hrstd="t" o:hr="t"/>
        </w:pict>
      </w:r>
    </w:p>
    <w:bookmarkEnd w:id="15"/>
    <w:bookmarkStart w:id="16" w:name="balance-sheet--capital-allocation"/>
    <w:p>
      <w:pPr>
        <w:pStyle w:val="Heading2"/>
      </w:pPr>
      <w:r>
        <w:t xml:space="preserve">Balance sheet &amp; capital allocation</w:t>
      </w:r>
    </w:p>
    <w:p>
      <w:pPr>
        <w:pStyle w:val="Compact"/>
        <w:numPr>
          <w:ilvl w:val="0"/>
          <w:numId w:val="1007"/>
        </w:numPr>
      </w:pPr>
      <w:r>
        <w:t xml:space="preserve">IP received</w:t>
      </w:r>
      <w:r>
        <w:t xml:space="preserve"> </w:t>
      </w:r>
      <w:r>
        <w:rPr>
          <w:b/>
          <w:bCs/>
        </w:rPr>
        <w:t xml:space="preserve">$1.1B from the Global Cellulose Fibers sale</w:t>
      </w:r>
      <w:r>
        <w:t xml:space="preserve"> </w:t>
      </w:r>
      <w:r>
        <w:t xml:space="preserve">(closed Jan 2026) and **paid down</w:t>
      </w:r>
      <w:r>
        <w:t xml:space="preserve"> </w:t>
      </w:r>
      <m:oMath>
        <m:r>
          <m:t>660</m:t>
        </m:r>
        <m:r>
          <m:t>M</m:t>
        </m:r>
        <m:r>
          <m:t>o</m:t>
        </m:r>
        <m:r>
          <m:t>f</m:t>
        </m:r>
        <m:r>
          <m:t>d</m:t>
        </m:r>
        <m:r>
          <m:t>e</m:t>
        </m:r>
        <m:r>
          <m:t>b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;</m:t>
        </m:r>
        <m:r>
          <m:t>l</m:t>
        </m:r>
        <m:r>
          <m:t>o</m:t>
        </m:r>
        <m:r>
          <m:t>n</m:t>
        </m:r>
        <m:r>
          <m:t>g</m:t>
        </m:r>
        <m:r>
          <m:rPr>
            <m:sty m:val="p"/>
          </m:rPr>
          <m:t>−</m:t>
        </m:r>
        <m:r>
          <m:t>t</m:t>
        </m:r>
        <m:r>
          <m:t>e</m:t>
        </m:r>
        <m:r>
          <m:t>r</m:t>
        </m:r>
        <m:r>
          <m:t>m</m:t>
        </m:r>
        <m:r>
          <m:t>d</m:t>
        </m:r>
        <m:r>
          <m:t>e</m:t>
        </m:r>
        <m:r>
          <m:t>b</m:t>
        </m:r>
        <m:r>
          <m:t>t</m:t>
        </m:r>
        <m:r>
          <m:t>s</m:t>
        </m:r>
        <m:r>
          <m:t>t</m:t>
        </m:r>
        <m:r>
          <m:t>o</m:t>
        </m:r>
        <m:r>
          <m:t>o</m:t>
        </m:r>
        <m:r>
          <m:t>d</m:t>
        </m:r>
        <m:r>
          <m:t>a</m:t>
        </m:r>
        <m:r>
          <m:t>t</m:t>
        </m:r>
        <m:r>
          <m:t> </m:t>
        </m:r>
      </m:oMath>
      <w:r>
        <w:t xml:space="preserve">8.2B at 3/31.</w:t>
      </w:r>
    </w:p>
    <w:p>
      <w:pPr>
        <w:pStyle w:val="Compact"/>
        <w:numPr>
          <w:ilvl w:val="0"/>
          <w:numId w:val="1007"/>
        </w:numPr>
      </w:pPr>
      <w:r>
        <w:t xml:space="preserve">Q1 FCF was</w:t>
      </w:r>
      <w:r>
        <w:t xml:space="preserve"> </w:t>
      </w:r>
      <m:oMath>
        <m:r>
          <m:t>94</m:t>
        </m:r>
        <m:r>
          <m:t>M</m:t>
        </m:r>
        <m:r>
          <m:t>b</m:t>
        </m:r>
        <m:r>
          <m:t>u</m:t>
        </m:r>
        <m:r>
          <m:t>t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e</m:t>
        </m:r>
        <m:r>
          <m:t>d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280M one-time tax refund** — underlying FCF generation is thin given elevated capex (running ~50% higher per facility in 2025–27 to rebuild reliability). Watch the **FCF trajectory vs. the</w:t>
      </w:r>
      <w:r>
        <w:t xml:space="preserve"> </w:t>
      </w:r>
      <m:oMath>
        <m:r>
          <m:t>300</m:t>
        </m:r>
        <m:r>
          <m:rPr>
            <m:sty m:val="p"/>
          </m:rPr>
          <m:t>–</m:t>
        </m:r>
        <m:r>
          <m:t>500</m:t>
        </m:r>
        <m:r>
          <m:t>M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a</m:t>
        </m:r>
        <m:r>
          <m:t>n</m:t>
        </m:r>
        <m:r>
          <m:t>y</m:t>
        </m:r>
        <m:r>
          <m:t>c</m:t>
        </m:r>
        <m:r>
          <m:t>o</m:t>
        </m:r>
        <m:r>
          <m:t>m</m:t>
        </m:r>
        <m:r>
          <m:t>m</m:t>
        </m:r>
        <m:r>
          <m:t>e</m:t>
        </m:r>
        <m:r>
          <m:t>n</m:t>
        </m:r>
        <m:r>
          <m:t>t</m:t>
        </m:r>
        <m:r>
          <m:t>a</m:t>
        </m:r>
        <m:r>
          <m:t>r</m:t>
        </m:r>
        <m:r>
          <m:t>y</m:t>
        </m:r>
        <m:r>
          <m:t>o</m:t>
        </m:r>
        <m:r>
          <m:t>n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0.46/quarter dividend (~$245M/quarter) coverage.</w:t>
      </w:r>
    </w:p>
    <w:p>
      <w:r>
        <w:pict>
          <v:rect style="width:0;height:1.5pt" o:hralign="center" o:hrstd="t" o:hr="t"/>
        </w:pict>
      </w:r>
    </w:p>
    <w:bookmarkEnd w:id="16"/>
    <w:bookmarkStart w:id="17" w:name="bottom-line-for-investors"/>
    <w:p>
      <w:pPr>
        <w:pStyle w:val="Heading2"/>
      </w:pPr>
      <w:r>
        <w:t xml:space="preserve">Bottom line for investors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Don't over-index on the Q2 number.</w:t>
      </w:r>
      <w:r>
        <w:t xml:space="preserve"> </w:t>
      </w:r>
      <w:r>
        <w:t xml:space="preserve">It's guided to be the weakest quarter of the year ($520–570M EBITDA, near-breakeven EPS) because of doubled outage schedules, Riverdale, and European margin lag. An in-range print is fine; a</w:t>
      </w:r>
      <w:r>
        <w:t xml:space="preserve"> </w:t>
      </w:r>
      <w:r>
        <w:rPr>
          <w:i/>
          <w:iCs/>
        </w:rPr>
        <w:t xml:space="preserve">miss</w:t>
      </w:r>
      <w:r>
        <w:t xml:space="preserve"> </w:t>
      </w:r>
      <w:r>
        <w:t xml:space="preserve">would sting given execution has been the knock on this story.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The three swing factors for the stock:</w:t>
      </w:r>
      <w:r>
        <w:t xml:space="preserve"> </w:t>
      </w:r>
      <w:r>
        <w:t xml:space="preserve">(1) whether management</w:t>
      </w:r>
      <w:r>
        <w:t xml:space="preserve"> </w:t>
      </w:r>
      <w:r>
        <w:rPr>
          <w:b/>
          <w:bCs/>
        </w:rPr>
        <w:t xml:space="preserve">raises or reaffirms</w:t>
      </w:r>
      <w:r>
        <w:t xml:space="preserve"> </w:t>
      </w:r>
      <w:r>
        <w:t xml:space="preserve">the full-year/2027 framework given the improved pricing environment (Sept. $80/ton + PKG's $140/ton); (2)</w:t>
      </w:r>
      <w:r>
        <w:t xml:space="preserve"> </w:t>
      </w:r>
      <w:r>
        <w:rPr>
          <w:b/>
          <w:bCs/>
        </w:rPr>
        <w:t xml:space="preserve">hard evidence that reliability and 80/20 cost-out are delivering</w:t>
      </w:r>
      <w:r>
        <w:t xml:space="preserve">, de-risking the large 2H step-up; and (3)</w:t>
      </w:r>
      <w:r>
        <w:t xml:space="preserve"> </w:t>
      </w:r>
      <w:r>
        <w:rPr>
          <w:b/>
          <w:bCs/>
        </w:rPr>
        <w:t xml:space="preserve">any update on the EMEA separation timeline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Expectations are now elevated</w:t>
      </w:r>
      <w:r>
        <w:t xml:space="preserve"> </w:t>
      </w:r>
      <w:r>
        <w:t xml:space="preserve">after a ~17% multi-day rally and a JPM upgrade to a $61 target. The pricing news is a genuine positive, but much of it is already in the stock and not yet in guidance — making the</w:t>
      </w:r>
      <w:r>
        <w:t xml:space="preserve"> </w:t>
      </w:r>
      <w:r>
        <w:rPr>
          <w:i/>
          <w:iCs/>
        </w:rPr>
        <w:t xml:space="preserve">forward commentary</w:t>
      </w:r>
      <w:r>
        <w:t xml:space="preserve">, not the trailing quarter, the real event.</w:t>
      </w:r>
    </w:p>
    <w:p>
      <w:pPr>
        <w:pStyle w:val="FirstParagraph"/>
      </w:pPr>
      <w:r>
        <w:rPr>
          <w:i/>
          <w:iCs/>
        </w:rPr>
        <w:t xml:space="preserve">Note: The reported Q2 2025 figures ($6.77B sales, $0.20 adjusted operating EPS) are not clean comps — they included the since-divested Global Cellulose Fibers business and only a partial quarter of DS Smith timing effects. Focus on continuing-operations and sequential comparisons plus guidance.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2026-07-29T18:48:16Z</dcterms:created>
  <dcterms:modified xsi:type="dcterms:W3CDTF">2026-07-29T18:48:16Z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