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p-earnings-predictions--2026-07-30"/>
    <w:p>
      <w:pPr>
        <w:pStyle w:val="Heading1"/>
      </w:pPr>
      <w:r>
        <w:t xml:space="preserve">IP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Enterprise Adjusted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555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545M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0.02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0.03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Sales/Revenue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~$6.10B vs. cons $6.17B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Enterprise 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~$3.35B (reaffirmed</w:t>
            </w:r>
            <w:r>
              <w:t xml:space="preserve"> </w:t>
            </w:r>
            <m:oMath>
              <m:r>
                <m:t>3.2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3.5B midpoint) vs. cons ~$3.35B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~$400M (reaffirmed</w:t>
            </w:r>
            <w:r>
              <w:t xml:space="preserve"> </w:t>
            </w:r>
            <m:oMath>
              <m:r>
                <m:t>300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500M midpoint) vs. cons ~$400M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EBITDA bridge / incremental pricing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~$620M H2 step-up commentary (incl. new</w:t>
            </w:r>
            <w:r>
              <w:t xml:space="preserve"> </w:t>
            </w:r>
            <m:oMath>
              <m:r>
                <m:t>80</m:t>
              </m:r>
              <m:r>
                <m:rPr>
                  <m:sty m:val="p"/>
                </m:rPr>
                <m:t>−</m:t>
              </m:r>
              <m:r>
                <m:t>140</m:t>
              </m:r>
              <m:r>
                <m:rPr>
                  <m:sty m:val="p"/>
                </m:rPr>
                <m:t>/</m:t>
              </m:r>
              <m:r>
                <m:t>t</m:t>
              </m:r>
              <m:r>
                <m:t>o</m:t>
              </m:r>
              <m:r>
                <m:t>n</m:t>
              </m:r>
              <m:r>
                <m:t>N</m:t>
              </m:r>
              <m:r>
                <m:t>A</m:t>
              </m:r>
              <m:r>
                <m:t>h</m:t>
              </m:r>
              <m:r>
                <m:t>i</m:t>
              </m:r>
              <m:r>
                <m:t>k</m:t>
              </m:r>
              <m:r>
                <m:t>e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600M prior H2 assumption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Stock already rallied ~26% in three weeks (17% in the last 3 sessions alone) purely on forward-looking containerboard price hikes and the JPM upgrade, not on Q2 results themselves — expectations have run well ahead of the actual print. Even a credibility-restoring in-line/slight-beat quarter is unlikely to justify further re-rating if FY26 EBITDA/FCF guidance is merely reaffirmed rather than raised, since the new Sept-1 pricing wave only affects ~4 months of FY26 and was explicitly flagged as mostly a 2027 tailwind. With four consecutive Zacks misses in investors' memory, any softness in EMEA margin-trough commentary or NA execution (reliability/ancillary cost risk) gives skittish holders a reason to take profits, and sell-side models likely trim out-period (FY26) estimates modestly to reflect that most incremental pricing upside is pushed into 2027, producing a fade after an initial muted/negative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2026-07-29T18:53:03Z</dcterms:created>
  <dcterms:modified xsi:type="dcterms:W3CDTF">2026-07-29T18:53:03Z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