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Good, now let's check on the EMEA separation update and any other recent news that could be relevant.Now let's check the JPMorgan upgrade details and analyst sentiment more, and check the Barron's article for the stock pop context.# International Paper (IP) — Q2 2026 Earnings Preview</w:t>
      </w:r>
      <w:r>
        <w:t xml:space="preserve"> </w:t>
      </w:r>
      <w:r>
        <w:rPr>
          <w:b/>
          <w:bCs/>
        </w:rPr>
        <w:t xml:space="preserve">Report Date:</w:t>
      </w:r>
      <w:r>
        <w:t xml:space="preserve"> </w:t>
      </w:r>
      <w:r>
        <w:t xml:space="preserve">Thursday, July 30, 2026, before market open | Call at 10:00 AM ET</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IP heads into tomorrow's report with the stock in rally mode but a credibility deficit to overcome. Shares closed at</w:t>
      </w:r>
      <w:r>
        <w:t xml:space="preserve"> </w:t>
      </w:r>
      <w:r>
        <w:rPr>
          <w:b/>
          <w:bCs/>
        </w:rPr>
        <w:t xml:space="preserve">$42.85 on July 29</w:t>
      </w:r>
      <w:r>
        <w:t xml:space="preserve">, up sharply from a post-Q1 low near $30 in early May, but the company has missed the Zacks Consensus Estimate in each of the trailing four quarters, the average surprise being negative 93.4%. That track record is the central tension for this print: management has guided to a specific, granular EBITDA bridge, and investors will be checking whether Q2 actually delivers on it.</w:t>
      </w:r>
    </w:p>
    <w:p>
      <w:pPr>
        <w:pStyle w:val="BodyText"/>
      </w:pPr>
      <w:r>
        <w:rPr>
          <w:b/>
          <w:bCs/>
        </w:rPr>
        <w:t xml:space="preserve">Consensus expectations:</w:t>
      </w:r>
    </w:p>
    <w:p>
      <w:pPr>
        <w:pStyle w:val="Compact"/>
        <w:numPr>
          <w:ilvl w:val="0"/>
          <w:numId w:val="1001"/>
        </w:numPr>
      </w:pPr>
      <w:r>
        <w:t xml:space="preserve">Revenue: the Zacks Consensus Estimate for IP's second-quarter revenues is pegged at $6.17 billion, indicating an 8.8% decline from the year-ago reported figure</w:t>
      </w:r>
    </w:p>
    <w:p>
      <w:pPr>
        <w:pStyle w:val="Compact"/>
        <w:numPr>
          <w:ilvl w:val="0"/>
          <w:numId w:val="1001"/>
        </w:numPr>
      </w:pPr>
      <w:r>
        <w:t xml:space="preserve">EPS: the consensus estimate for International Paper's earnings has moved down from a loss of two cents expected 60 days ago to the current expectation of a loss of three cents per share, versus earnings of 20 cents per share in the year-ago quarter</w:t>
      </w:r>
    </w:p>
    <w:p>
      <w:pPr>
        <w:pStyle w:val="Compact"/>
        <w:numPr>
          <w:ilvl w:val="0"/>
          <w:numId w:val="1001"/>
        </w:numPr>
      </w:pPr>
      <w:r>
        <w:t xml:space="preserve">Full-year: analysts expect IP to report EPS of $1.39, recovering 795% from loss per share of $0.20 in fiscal 2025</w:t>
      </w:r>
    </w:p>
    <w:p>
      <w:pPr>
        <w:pStyle w:val="FirstParagraph"/>
      </w:pPr>
      <w:r>
        <w:rPr>
          <w:b/>
          <w:bCs/>
        </w:rPr>
        <w:t xml:space="preserve">Company's own guidance (issued with Q1 results, April 30):</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 2026 Guide</w:t>
            </w:r>
          </w:p>
        </w:tc>
        <w:tc>
          <w:tcPr/>
          <w:p>
            <w:pPr>
              <w:pStyle w:val="Compact"/>
            </w:pPr>
            <w:r>
              <w:t xml:space="preserve">FY2026 Guide</w:t>
            </w:r>
          </w:p>
        </w:tc>
      </w:tr>
      <w:tr>
        <w:tc>
          <w:tcPr/>
          <w:p>
            <w:pPr>
              <w:pStyle w:val="Compact"/>
            </w:pPr>
            <w:r>
              <w:t xml:space="preserve">Enterprise Adjusted EBITDA</w:t>
            </w:r>
          </w:p>
        </w:tc>
        <w:tc>
          <w:tcPr/>
          <w:p>
            <w:pPr>
              <w:pStyle w:val="Compact"/>
            </w:pPr>
            <m:oMath>
              <m:r>
                <m:t>520</m:t>
              </m:r>
              <m:r>
                <m:t>M</m:t>
              </m:r>
              <m:r>
                <m:rPr>
                  <m:sty m:val="p"/>
                </m:rPr>
                <m:t>–</m:t>
              </m:r>
            </m:oMath>
            <w:r>
              <w:t xml:space="preserve">570M</w:t>
            </w:r>
          </w:p>
        </w:tc>
        <w:tc>
          <w:tcPr/>
          <w:p>
            <w:pPr>
              <w:pStyle w:val="Compact"/>
            </w:pPr>
            <m:oMath>
              <m:r>
                <m:t>3.20</m:t>
              </m:r>
              <m:r>
                <m:t>B</m:t>
              </m:r>
              <m:r>
                <m:rPr>
                  <m:sty m:val="p"/>
                </m:rPr>
                <m:t>–</m:t>
              </m:r>
            </m:oMath>
            <w:r>
              <w:t xml:space="preserve">3.50B</w:t>
            </w:r>
          </w:p>
        </w:tc>
      </w:tr>
      <w:tr>
        <w:tc>
          <w:tcPr/>
          <w:p>
            <w:pPr>
              <w:pStyle w:val="Compact"/>
            </w:pPr>
            <w:r>
              <w:t xml:space="preserve">PS North America EBITDA</w:t>
            </w:r>
          </w:p>
        </w:tc>
        <w:tc>
          <w:tcPr/>
          <w:p>
            <w:pPr>
              <w:pStyle w:val="Compact"/>
            </w:pPr>
            <m:oMath>
              <m:r>
                <m:t>380</m:t>
              </m:r>
              <m:r>
                <m:t>M</m:t>
              </m:r>
              <m:r>
                <m:rPr>
                  <m:sty m:val="p"/>
                </m:rPr>
                <m:t>–</m:t>
              </m:r>
            </m:oMath>
            <w:r>
              <w:t xml:space="preserve">410M</w:t>
            </w:r>
          </w:p>
        </w:tc>
        <w:tc>
          <w:tcPr/>
          <w:p>
            <w:pPr>
              <w:pStyle w:val="Compact"/>
            </w:pPr>
            <m:oMath>
              <m:r>
                <m:t>2.35</m:t>
              </m:r>
              <m:r>
                <m:t>B</m:t>
              </m:r>
              <m:r>
                <m:rPr>
                  <m:sty m:val="p"/>
                </m:rPr>
                <m:t>–</m:t>
              </m:r>
            </m:oMath>
            <w:r>
              <w:t xml:space="preserve">2.50B</w:t>
            </w:r>
          </w:p>
        </w:tc>
      </w:tr>
      <w:tr>
        <w:tc>
          <w:tcPr/>
          <w:p>
            <w:pPr>
              <w:pStyle w:val="Compact"/>
            </w:pPr>
            <w:r>
              <w:t xml:space="preserve">PS EMEA EBITDA</w:t>
            </w:r>
          </w:p>
        </w:tc>
        <w:tc>
          <w:tcPr/>
          <w:p>
            <w:pPr>
              <w:pStyle w:val="Compact"/>
            </w:pPr>
            <m:oMath>
              <m:r>
                <m:t>150</m:t>
              </m:r>
              <m:r>
                <m:t>M</m:t>
              </m:r>
              <m:r>
                <m:rPr>
                  <m:sty m:val="p"/>
                </m:rPr>
                <m:t>–</m:t>
              </m:r>
            </m:oMath>
            <w:r>
              <w:t xml:space="preserve">170M</w:t>
            </w:r>
          </w:p>
        </w:tc>
        <w:tc>
          <w:tcPr/>
          <w:p>
            <w:pPr>
              <w:pStyle w:val="Compact"/>
            </w:pPr>
            <m:oMath>
              <m:r>
                <m:t>900</m:t>
              </m:r>
              <m:r>
                <m:t>M</m:t>
              </m:r>
              <m:r>
                <m:rPr>
                  <m:sty m:val="p"/>
                </m:rPr>
                <m:t>–</m:t>
              </m:r>
            </m:oMath>
            <w:r>
              <w:t xml:space="preserve">1.00B</w:t>
            </w:r>
          </w:p>
        </w:tc>
      </w:tr>
      <w:tr>
        <w:tc>
          <w:tcPr/>
          <w:p>
            <w:pPr>
              <w:pStyle w:val="Compact"/>
            </w:pPr>
            <w:r>
              <w:t xml:space="preserve">Free Cash Flow</w:t>
            </w:r>
          </w:p>
        </w:tc>
        <w:tc>
          <w:tcPr/>
          <w:p>
            <w:pPr>
              <w:pStyle w:val="Compact"/>
            </w:pPr>
            <w:r>
              <w:t xml:space="preserve">—</w:t>
            </w:r>
          </w:p>
        </w:tc>
        <w:tc>
          <w:tcPr/>
          <w:p>
            <w:pPr>
              <w:pStyle w:val="Compact"/>
            </w:pPr>
            <m:oMath>
              <m:r>
                <m:t>300</m:t>
              </m:r>
              <m:r>
                <m:t>M</m:t>
              </m:r>
              <m:r>
                <m:rPr>
                  <m:sty m:val="p"/>
                </m:rPr>
                <m:t>–</m:t>
              </m:r>
            </m:oMath>
            <w:r>
              <w:t xml:space="preserve">500M</w:t>
            </w:r>
          </w:p>
        </w:tc>
      </w:tr>
    </w:tbl>
    <w:p>
      <w:r>
        <w:pict>
          <v:rect style="width:0;height:1.5pt" o:hralign="center" o:hrstd="t" o:hr="t"/>
        </w:pict>
      </w:r>
    </w:p>
    <w:bookmarkEnd w:id="9"/>
    <w:bookmarkStart w:id="10" w:name="Xf021d937129848d0edc9343e988e83130bf983d"/>
    <w:p>
      <w:pPr>
        <w:pStyle w:val="Heading2"/>
      </w:pPr>
      <w:r>
        <w:t xml:space="preserve">2. What Went Wrong Last Quarter (Context for Tomorrow)</w:t>
      </w:r>
    </w:p>
    <w:p>
      <w:pPr>
        <w:pStyle w:val="FirstParagraph"/>
      </w:pPr>
      <w:r>
        <w:t xml:space="preserve">Q1 2026 was messy: net sales of $5.97 billion, adjusted EBITDA of $677 million (11.3% margin), and adjusted operating EPS of $0.15 — a miss versus the</w:t>
      </w:r>
      <w:r>
        <w:t xml:space="preserve"> </w:t>
      </w:r>
      <m:oMath>
        <m:r>
          <m:t>0.18</m:t>
        </m:r>
        <m:r>
          <m:t>c</m:t>
        </m:r>
        <m:r>
          <m:t>o</m:t>
        </m:r>
        <m:r>
          <m:t>n</m:t>
        </m:r>
        <m:r>
          <m:t>s</m:t>
        </m:r>
        <m:r>
          <m:t>e</m:t>
        </m:r>
        <m:r>
          <m:t>n</m:t>
        </m:r>
        <m:r>
          <m:t>s</m:t>
        </m:r>
        <m:r>
          <m:t>u</m:t>
        </m:r>
        <m:r>
          <m:t>s</m:t>
        </m:r>
        <m:r>
          <m:rPr>
            <m:sty m:val="p"/>
          </m:rPr>
          <m:t>,</m:t>
        </m:r>
        <m:r>
          <m:t>w</m:t>
        </m:r>
        <m:r>
          <m:t>i</m:t>
        </m:r>
        <m:r>
          <m:t>t</m:t>
        </m:r>
        <m:r>
          <m:t>h</m:t>
        </m:r>
        <m:r>
          <m:t>r</m:t>
        </m:r>
        <m:r>
          <m:t>e</m:t>
        </m:r>
        <m:r>
          <m:t>v</m:t>
        </m:r>
        <m:r>
          <m:t>e</m:t>
        </m:r>
        <m:r>
          <m:t>n</m:t>
        </m:r>
        <m:r>
          <m:t>u</m:t>
        </m:r>
        <m:r>
          <m:t>e</m:t>
        </m:r>
        <m:r>
          <m:t>a</m:t>
        </m:r>
        <m:r>
          <m:t>l</m:t>
        </m:r>
        <m:r>
          <m:t>s</m:t>
        </m:r>
        <m:r>
          <m:t>o</m:t>
        </m:r>
        <m:r>
          <m:t>s</m:t>
        </m:r>
        <m:r>
          <m:t>h</m:t>
        </m:r>
        <m:r>
          <m:t>o</m:t>
        </m:r>
        <m:r>
          <m:t>r</m:t>
        </m:r>
        <m:r>
          <m:t>t</m:t>
        </m:r>
        <m:r>
          <m:t>o</m:t>
        </m:r>
        <m:r>
          <m:t>f</m:t>
        </m:r>
        <m:r>
          <m:t>t</m:t>
        </m:r>
        <m:r>
          <m:t>h</m:t>
        </m:r>
        <m:r>
          <m:t>e</m:t>
        </m:r>
        <m:r>
          <m:t> </m:t>
        </m:r>
      </m:oMath>
      <w:r>
        <w:t xml:space="preserve">6.02 billion estimate. The company cut full-year guidance meaningfully: North America EBITDA outlook moved to</w:t>
      </w:r>
      <w:r>
        <w:t xml:space="preserve"> </w:t>
      </w:r>
      <m:oMath>
        <m:r>
          <m:t>2.35</m:t>
        </m:r>
        <m:r>
          <m:t>B</m:t>
        </m:r>
        <m:r>
          <m:rPr>
            <m:sty m:val="p"/>
          </m:rPr>
          <m:t>–</m:t>
        </m:r>
      </m:oMath>
      <w:r>
        <w:t xml:space="preserve">2.5B from</w:t>
      </w:r>
      <w:r>
        <w:t xml:space="preserve"> </w:t>
      </w:r>
      <m:oMath>
        <m:r>
          <m:t>2.5</m:t>
        </m:r>
        <m:r>
          <m:t>B</m:t>
        </m:r>
        <m:r>
          <m:rPr>
            <m:sty m:val="p"/>
          </m:rPr>
          <m:t>–</m:t>
        </m:r>
      </m:oMath>
      <w:r>
        <w:t xml:space="preserve">2.6B, and EMEA moved to</w:t>
      </w:r>
      <w:r>
        <w:t xml:space="preserve"> </w:t>
      </w:r>
      <m:oMath>
        <m:r>
          <m:t>900</m:t>
        </m:r>
        <m:r>
          <m:t>M</m:t>
        </m:r>
        <m:r>
          <m:rPr>
            <m:sty m:val="p"/>
          </m:rPr>
          <m:t>–</m:t>
        </m:r>
      </m:oMath>
      <w:r>
        <w:t xml:space="preserve">1.0B from</w:t>
      </w:r>
      <w:r>
        <w:t xml:space="preserve"> </w:t>
      </w:r>
      <m:oMath>
        <m:r>
          <m:t>1.0</m:t>
        </m:r>
        <m:r>
          <m:t>B</m:t>
        </m:r>
        <m:r>
          <m:rPr>
            <m:sty m:val="p"/>
          </m:rPr>
          <m:t>–</m:t>
        </m:r>
      </m:oMath>
      <w:r>
        <w:t xml:space="preserve">1.1B. Management attributed the reset to a combination of a January winter storm (~</w:t>
      </w:r>
      <m:oMath>
        <m:r>
          <m:t>50</m:t>
        </m:r>
        <m:r>
          <m:rPr>
            <m:sty m:val="p"/>
          </m:rPr>
          <m:t>−</m:t>
        </m:r>
        <m:r>
          <m:t>53</m:t>
        </m:r>
        <m:r>
          <m:t>M</m:t>
        </m:r>
        <m:r>
          <m:t>h</m:t>
        </m:r>
        <m:r>
          <m:t>i</m:t>
        </m:r>
        <m:r>
          <m:t>t</m:t>
        </m:r>
        <m:r>
          <m:rPr>
            <m:sty m:val="p"/>
          </m:rPr>
          <m:t>)</m:t>
        </m:r>
        <m:r>
          <m:rPr>
            <m:sty m:val="p"/>
          </m:rPr>
          <m:t>,</m:t>
        </m:r>
        <m:r>
          <m:t>m</m:t>
        </m:r>
        <m:r>
          <m:t>a</m:t>
        </m:r>
        <m:r>
          <m:t>c</m:t>
        </m:r>
        <m:r>
          <m:t>r</m:t>
        </m:r>
        <m:r>
          <m:t>o</m:t>
        </m:r>
        <m:r>
          <m:t>p</m:t>
        </m:r>
        <m:r>
          <m:t>r</m:t>
        </m:r>
        <m:r>
          <m:t>e</m:t>
        </m:r>
        <m:r>
          <m:t>s</m:t>
        </m:r>
        <m:r>
          <m:t>s</m:t>
        </m:r>
        <m:r>
          <m:t>u</m:t>
        </m:r>
        <m:r>
          <m:t>r</m:t>
        </m:r>
        <m:r>
          <m:t>e</m:t>
        </m:r>
        <m:r>
          <m:rPr>
            <m:sty m:val="p"/>
          </m:rPr>
          <m:t>(</m:t>
        </m:r>
        <m:r>
          <m:t>d</m:t>
        </m:r>
        <m:r>
          <m:t>i</m:t>
        </m:r>
        <m:r>
          <m:t>e</m:t>
        </m:r>
        <m:r>
          <m:t>s</m:t>
        </m:r>
        <m:r>
          <m:t>e</m:t>
        </m:r>
        <m:r>
          <m:t>l</m:t>
        </m:r>
        <m:r>
          <m:rPr>
            <m:sty m:val="p"/>
          </m:rPr>
          <m:t>,</m:t>
        </m:r>
        <m:r>
          <m:t>c</m:t>
        </m:r>
        <m:r>
          <m:t>h</m:t>
        </m:r>
        <m:r>
          <m:t>e</m:t>
        </m:r>
        <m:r>
          <m:t>m</m:t>
        </m:r>
        <m:r>
          <m:t>i</m:t>
        </m:r>
        <m:r>
          <m:t>c</m:t>
        </m:r>
        <m:r>
          <m:t>a</m:t>
        </m:r>
        <m:r>
          <m:t>l</m:t>
        </m:r>
        <m:r>
          <m:t>s</m:t>
        </m:r>
        <m:r>
          <m:rPr>
            <m:sty m:val="p"/>
          </m:rPr>
          <m:t>,</m:t>
        </m:r>
        <m:r>
          <m:t>O</m:t>
        </m:r>
        <m:r>
          <m:t>C</m:t>
        </m:r>
        <m:r>
          <m:t>C</m:t>
        </m:r>
        <m:r>
          <m:t>i</m:t>
        </m:r>
        <m:r>
          <m:t>n</m:t>
        </m:r>
        <m:r>
          <m:t>f</m:t>
        </m:r>
        <m:r>
          <m:t>l</m:t>
        </m:r>
        <m:r>
          <m:t>a</m:t>
        </m:r>
        <m:r>
          <m:t>t</m:t>
        </m:r>
        <m:r>
          <m:t>i</m:t>
        </m:r>
        <m:r>
          <m:t>o</m:t>
        </m:r>
        <m:r>
          <m:t>n</m:t>
        </m:r>
        <m:r>
          <m:rPr>
            <m:sty m:val="p"/>
          </m:rPr>
          <m:t>,</m:t>
        </m:r>
        <m:r>
          <m:t>s</m:t>
        </m:r>
        <m:r>
          <m:t>o</m:t>
        </m:r>
        <m:r>
          <m:t>f</m:t>
        </m:r>
        <m:r>
          <m:t>t</m:t>
        </m:r>
        <m:r>
          <m:t>e</m:t>
        </m:r>
        <m:r>
          <m:t>r</m:t>
        </m:r>
        <m:r>
          <m:t>d</m:t>
        </m:r>
        <m:r>
          <m:t>e</m:t>
        </m:r>
        <m:r>
          <m:t>m</m:t>
        </m:r>
        <m:r>
          <m:t>a</m:t>
        </m:r>
        <m:r>
          <m:t>n</m:t>
        </m:r>
        <m:r>
          <m:t>d</m:t>
        </m:r>
        <m:r>
          <m:rPr>
            <m:sty m:val="p"/>
          </m:rPr>
          <m:t>)</m:t>
        </m:r>
        <m:r>
          <m:rPr>
            <m:sty m:val="p"/>
          </m:rPr>
          <m:t>,</m:t>
        </m:r>
        <m:r>
          <m:t>a</m:t>
        </m:r>
        <m:r>
          <m:t>n</m:t>
        </m:r>
        <m:r>
          <m:t>d</m:t>
        </m:r>
        <m:r>
          <m:t>e</m:t>
        </m:r>
        <m:r>
          <m:t>x</m:t>
        </m:r>
        <m:r>
          <m:t>e</m:t>
        </m:r>
        <m:r>
          <m:t>c</m:t>
        </m:r>
        <m:r>
          <m:t>u</m:t>
        </m:r>
        <m:r>
          <m:t>t</m:t>
        </m:r>
        <m:r>
          <m:t>i</m:t>
        </m:r>
        <m:r>
          <m:t>o</m:t>
        </m:r>
        <m:r>
          <m:t>n</m:t>
        </m:r>
        <m:r>
          <m:rPr>
            <m:sty m:val="p"/>
          </m:rPr>
          <m:t>/</m:t>
        </m:r>
        <m:r>
          <m:t>p</m:t>
        </m:r>
        <m:r>
          <m:t>e</m:t>
        </m:r>
        <m:r>
          <m:t>r</m:t>
        </m:r>
        <m:r>
          <m:t>f</m:t>
        </m:r>
        <m:r>
          <m:t>o</m:t>
        </m:r>
        <m:r>
          <m:t>r</m:t>
        </m:r>
        <m:r>
          <m:t>m</m:t>
        </m:r>
        <m:r>
          <m:t>a</m:t>
        </m:r>
        <m:r>
          <m:t>n</m:t>
        </m:r>
        <m:r>
          <m:t>c</m:t>
        </m:r>
        <m:r>
          <m:t>e</m:t>
        </m:r>
        <m:r>
          <m:t>s</m:t>
        </m:r>
        <m:r>
          <m:t>h</m:t>
        </m:r>
        <m:r>
          <m:t>o</m:t>
        </m:r>
        <m:r>
          <m:t>r</m:t>
        </m:r>
        <m:r>
          <m:t>t</m:t>
        </m:r>
        <m:r>
          <m:t>f</m:t>
        </m:r>
        <m:r>
          <m:t>a</m:t>
        </m:r>
        <m:r>
          <m:t>l</m:t>
        </m:r>
        <m:r>
          <m:t>l</m:t>
        </m:r>
        <m:r>
          <m:t>s</m:t>
        </m:r>
        <m:r>
          <m:rPr>
            <m:sty m:val="p"/>
          </m:rPr>
          <m:t>(</m:t>
        </m:r>
        <m:r>
          <m:t> </m:t>
        </m:r>
      </m:oMath>
      <w:r>
        <w:t xml:space="preserve">75M) tied to reliability and specialty-business issues. CEO Andy Silvernail was candid that unplanned/transformation costs — including a Sylvamo contract shortfall and ancillary network costs — represent at least $100 million of drag this year that he characterized as largely non-recurring.</w:t>
      </w:r>
    </w:p>
    <w:p>
      <w:pPr>
        <w:pStyle w:val="BodyText"/>
      </w:pPr>
      <w:r>
        <w:t xml:space="preserve">The offsetting story management is selling: a steep first-half-to-second-half ramp. North America is guided to go from ~</w:t>
      </w:r>
      <m:oMath>
        <m:r>
          <m:t>900</m:t>
        </m:r>
        <m:r>
          <m:t>M</m:t>
        </m:r>
        <m:r>
          <m:t>o</m:t>
        </m:r>
        <m:r>
          <m:t>f</m:t>
        </m:r>
        <m:r>
          <m:t>c</m:t>
        </m:r>
        <m:r>
          <m:t>o</m:t>
        </m:r>
        <m:r>
          <m:t>m</m:t>
        </m:r>
        <m:r>
          <m:t>b</m:t>
        </m:r>
        <m:r>
          <m:t>i</m:t>
        </m:r>
        <m:r>
          <m:t>n</m:t>
        </m:r>
        <m:r>
          <m:t>e</m:t>
        </m:r>
        <m:r>
          <m:t>d</m:t>
        </m:r>
        <m:r>
          <m:t>H</m:t>
        </m:r>
        <m:r>
          <m:t>1</m:t>
        </m:r>
        <m:r>
          <m:t>E</m:t>
        </m:r>
        <m:r>
          <m:t>B</m:t>
        </m:r>
        <m:r>
          <m:t>I</m:t>
        </m:r>
        <m:r>
          <m:t>T</m:t>
        </m:r>
        <m:r>
          <m:t>D</m:t>
        </m:r>
        <m:r>
          <m:t>A</m:t>
        </m:r>
        <m:r>
          <m:t>t</m:t>
        </m:r>
        <m:r>
          <m:t>o</m:t>
        </m:r>
        <m:r>
          <m:t>a</m:t>
        </m:r>
        <m:r>
          <m:t> </m:t>
        </m:r>
      </m:oMath>
      <w:r>
        <w:t xml:space="preserve">650M step-up in H2, driven by published pricing flow-through (~</w:t>
      </w:r>
      <m:oMath>
        <m:r>
          <m:t>300</m:t>
        </m:r>
        <m:r>
          <m:t>M</m:t>
        </m:r>
        <m:r>
          <m:rPr>
            <m:sty m:val="p"/>
          </m:rPr>
          <m:t>)</m:t>
        </m:r>
        <m:r>
          <m:rPr>
            <m:sty m:val="p"/>
          </m:rPr>
          <m:t>,</m:t>
        </m:r>
        <m:r>
          <m:t>80</m:t>
        </m:r>
        <m:r>
          <m:rPr>
            <m:sty m:val="p"/>
          </m:rPr>
          <m:t>/</m:t>
        </m:r>
        <m:r>
          <m:t>20</m:t>
        </m:r>
        <m:r>
          <m:t>c</m:t>
        </m:r>
        <m:r>
          <m:t>o</m:t>
        </m:r>
        <m:r>
          <m:t>s</m:t>
        </m:r>
        <m:r>
          <m:t>t</m:t>
        </m:r>
        <m:r>
          <m:rPr>
            <m:sty m:val="p"/>
          </m:rPr>
          <m:t>−</m:t>
        </m:r>
        <m:r>
          <m:t>o</m:t>
        </m:r>
        <m:r>
          <m:t>u</m:t>
        </m:r>
        <m:r>
          <m:t>t</m:t>
        </m:r>
        <m:r>
          <m:rPr>
            <m:sty m:val="p"/>
          </m:rPr>
          <m:t>(</m:t>
        </m:r>
        <m:r>
          <m:t> </m:t>
        </m:r>
      </m:oMath>
      <w:r>
        <w:t xml:space="preserve">150M), and the roll-off of heavy maintenance/outage spending and the Riverdale paper machine conversion (~</w:t>
      </w:r>
      <m:oMath>
        <m:r>
          <m:t>150</m:t>
        </m:r>
        <m:r>
          <m:t>M</m:t>
        </m:r>
        <m:r>
          <m:rPr>
            <m:sty m:val="p"/>
          </m:rPr>
          <m:t>+</m:t>
        </m:r>
      </m:oMath>
      <w:r>
        <w:t xml:space="preserve">100M). EMEA's bridge relies on packaging margin recovery as the ~€100/ton price increase catches up to elevated paper costs (a 3-6 month lag), plus ~</w:t>
      </w:r>
      <m:oMath>
        <m:r>
          <m:t>40</m:t>
        </m:r>
        <m:r>
          <m:t>M</m:t>
        </m:r>
        <m:r>
          <m:t>o</m:t>
        </m:r>
        <m:r>
          <m:t>f</m:t>
        </m:r>
        <m:r>
          <m:t>f</m:t>
        </m:r>
        <m:r>
          <m:t>u</m:t>
        </m:r>
        <m:r>
          <m:t>r</m:t>
        </m:r>
        <m:r>
          <m:t>t</m:t>
        </m:r>
        <m:r>
          <m:t>h</m:t>
        </m:r>
        <m:r>
          <m:t>e</m:t>
        </m:r>
        <m:r>
          <m:t>r</m:t>
        </m:r>
        <m:r>
          <m:t>c</m:t>
        </m:r>
        <m:r>
          <m:t>o</m:t>
        </m:r>
        <m:r>
          <m:t>s</m:t>
        </m:r>
        <m:r>
          <m:t>t</m:t>
        </m:r>
        <m:r>
          <m:rPr>
            <m:sty m:val="p"/>
          </m:rPr>
          <m:t>−</m:t>
        </m:r>
        <m:r>
          <m:t>o</m:t>
        </m:r>
        <m:r>
          <m:t>u</m:t>
        </m:r>
        <m:r>
          <m:t>t</m:t>
        </m:r>
        <m:r>
          <m:t>a</m:t>
        </m:r>
        <m:r>
          <m:t>n</m:t>
        </m:r>
        <m:r>
          <m:t>d</m:t>
        </m:r>
        <m:r>
          <m:t> </m:t>
        </m:r>
      </m:oMath>
      <w:r>
        <w:t xml:space="preserve">50M of energy normalization, taking H2 EBITDA to</w:t>
      </w:r>
      <w:r>
        <w:t xml:space="preserve"> </w:t>
      </w:r>
      <m:oMath>
        <m:r>
          <m:t>540</m:t>
        </m:r>
        <m:r>
          <m:t>M</m:t>
        </m:r>
        <m:r>
          <m:rPr>
            <m:sty m:val="p"/>
          </m:rPr>
          <m:t>–</m:t>
        </m:r>
      </m:oMath>
      <w:r>
        <w:t xml:space="preserve">620M.</w:t>
      </w:r>
    </w:p>
    <w:p>
      <w:pPr>
        <w:pStyle w:val="BodyText"/>
      </w:pPr>
      <w:r>
        <w:t xml:space="preserve">Q2 is explicitly framed as the</w:t>
      </w:r>
      <w:r>
        <w:t xml:space="preserve"> </w:t>
      </w:r>
      <w:r>
        <w:rPr>
          <w:i/>
          <w:iCs/>
        </w:rPr>
        <w:t xml:space="preserve">trough</w:t>
      </w:r>
      <w:r>
        <w:t xml:space="preserve"> </w:t>
      </w:r>
      <w:r>
        <w:t xml:space="preserve">quarter for EMEA margins — "peak margin compression" — since energy-driven paper cost increases hit immediately while packaging price increases lag. That dynamic is baked into the $150-170M EMEA guide and is a key item to verify tomorrow.</w:t>
      </w:r>
    </w:p>
    <w:p>
      <w:r>
        <w:pict>
          <v:rect style="width:0;height:1.5pt" o:hralign="center" o:hrstd="t" o:hr="t"/>
        </w:pict>
      </w:r>
    </w:p>
    <w:bookmarkEnd w:id="10"/>
    <w:bookmarkStart w:id="11" w:name="X22e947fed686234d5d5a67f56e3a2c0b295417a"/>
    <w:p>
      <w:pPr>
        <w:pStyle w:val="Heading2"/>
      </w:pPr>
      <w:r>
        <w:t xml:space="preserve">3. What's Changed Since the Q1 Call — And Why the Stock Has Ripped</w:t>
      </w:r>
    </w:p>
    <w:p>
      <w:pPr>
        <w:pStyle w:val="FirstParagraph"/>
      </w:pPr>
      <w:r>
        <w:t xml:space="preserve">Several developments since April 30 are the real reason sentiment has shifted heading into this print:</w:t>
      </w:r>
    </w:p>
    <w:p>
      <w:pPr>
        <w:pStyle w:val="Compact"/>
        <w:numPr>
          <w:ilvl w:val="0"/>
          <w:numId w:val="1002"/>
        </w:numPr>
      </w:pPr>
      <w:r>
        <w:rPr>
          <w:b/>
          <w:bCs/>
        </w:rPr>
        <w:t xml:space="preserve">Fresh containerboard price increases.</w:t>
      </w:r>
      <w:r>
        <w:t xml:space="preserve"> </w:t>
      </w:r>
      <w:r>
        <w:t xml:space="preserve">In late July, International Paper plans to increase containerboard prices by $80 per ton, while Smurfit Westrock will implement a $100-per-ton increase for both containerboard and kraft paper, and separately North America faces a containerboard price increase with a $140 rise effective September 1 from Packaging Corp of America, with the tightness stemming from a major and unprecedented capacity retirement of 10% in the US and a total of 3.9 million tons. This is the second/third wave of increases this year — International Paper's executives also discussed containerboard pricing during their Thursday earnings call, expecting $175 million in pricing benefits for the year, mostly reflected in results during the second half of 2026, and this new round is incremental to that.</w:t>
      </w:r>
    </w:p>
    <w:p>
      <w:pPr>
        <w:pStyle w:val="Compact"/>
        <w:numPr>
          <w:ilvl w:val="0"/>
          <w:numId w:val="1002"/>
        </w:numPr>
      </w:pPr>
      <w:r>
        <w:rPr>
          <w:b/>
          <w:bCs/>
        </w:rPr>
        <w:t xml:space="preserve">JPMorgan upgrade.</w:t>
      </w:r>
      <w:r>
        <w:t xml:space="preserve"> </w:t>
      </w:r>
      <w:r>
        <w:t xml:space="preserve">On July 28, International Paper (IP) up 3.6%... as J.P. Morgan upgrades to Overweight from Neutral with a $61 price target, raised from $51, saying the U.S. linerboard pricing cycle is starting to pick up the pace, raising earnings expectati[ons]. JPMorgan maintained Overweight ratings on Smurfit WestRock and Packaging Corp. of America, lifting its view of IP to the most attractive name in the group given the pricing cycle. The stock's reaction was sharp — International Paper shares rose more than 5% Tuesday on two significant developments... [the] $80 a ton increase effective September 1... and J.P. Morgan upgraded International Paper to Overweight from Neutral, and International Paper stock has risen 17% over the past three trading days, but is down 18% over the past 12 months.</w:t>
      </w:r>
    </w:p>
    <w:p>
      <w:pPr>
        <w:pStyle w:val="Compact"/>
        <w:numPr>
          <w:ilvl w:val="0"/>
          <w:numId w:val="1002"/>
        </w:numPr>
      </w:pPr>
      <w:r>
        <w:rPr>
          <w:b/>
          <w:bCs/>
        </w:rPr>
        <w:t xml:space="preserve">A prior downgrade shows the bear case.</w:t>
      </w:r>
      <w:r>
        <w:t xml:space="preserve"> </w:t>
      </w:r>
      <w:r>
        <w:t xml:space="preserve">Before the rally, BofA Securities downgraded International Paper to Neutral from Buy... and lowered its price target to $41 from $44, with the stock trading near $37 at the time, on concerns centered on European softness and a preference for PCA and Smurfit WestRock instead.</w:t>
      </w:r>
    </w:p>
    <w:p>
      <w:pPr>
        <w:pStyle w:val="Compact"/>
        <w:numPr>
          <w:ilvl w:val="0"/>
          <w:numId w:val="1002"/>
        </w:numPr>
      </w:pPr>
      <w:r>
        <w:rPr>
          <w:b/>
          <w:bCs/>
        </w:rPr>
        <w:t xml:space="preserve">Board refresh.</w:t>
      </w:r>
      <w:r>
        <w:t xml:space="preserve"> </w:t>
      </w:r>
      <w:r>
        <w:t xml:space="preserve">IP disclosed on July 17 that it is appointing two new independent directors while two existing directors will retire, a routine governance update but one worth noting given the pending EMEA separation and heightened investor scrutiny of the board.</w:t>
      </w:r>
    </w:p>
    <w:p>
      <w:pPr>
        <w:pStyle w:val="Compact"/>
        <w:numPr>
          <w:ilvl w:val="0"/>
          <w:numId w:val="1002"/>
        </w:numPr>
      </w:pPr>
      <w:r>
        <w:rPr>
          <w:b/>
          <w:bCs/>
        </w:rPr>
        <w:t xml:space="preserve">Peer read-through.</w:t>
      </w:r>
      <w:r>
        <w:t xml:space="preserve"> </w:t>
      </w:r>
      <w:r>
        <w:t xml:space="preserve">Packaging Corp of America's Q2 print (reported July 22) showed demand was very strong throughout the quarter across our entire customer base... shipments were up over 24% in total and per day versus last year, with the legacy business up 4.1%, achieving an all-time record for total quarterly shipments. That's a notably stronger demand signal than IP's own guide of roughly flat industry volume, and raises the question of whether IP is capturing its fair share of an improving demand backdrop or continuing to lag peers.</w:t>
      </w:r>
    </w:p>
    <w:p>
      <w:r>
        <w:pict>
          <v:rect style="width:0;height:1.5pt" o:hralign="center" o:hrstd="t" o:hr="t"/>
        </w:pict>
      </w:r>
    </w:p>
    <w:bookmarkEnd w:id="11"/>
    <w:bookmarkStart w:id="12" w:name="Xccadf217d3d2bc7b2aa7bfc144f7799835869aa"/>
    <w:p>
      <w:pPr>
        <w:pStyle w:val="Heading2"/>
      </w:pPr>
      <w:r>
        <w:t xml:space="preserve">4. Key Things to Watch in Tomorrow's Print</w:t>
      </w:r>
    </w:p>
    <w:p>
      <w:pPr>
        <w:pStyle w:val="Compact"/>
        <w:numPr>
          <w:ilvl w:val="0"/>
          <w:numId w:val="1003"/>
        </w:numPr>
      </w:pPr>
      <w:r>
        <w:rPr>
          <w:b/>
          <w:bCs/>
        </w:rPr>
        <w:t xml:space="preserve">Does Q2 land in the guided</w:t>
      </w:r>
      <w:r>
        <w:rPr>
          <w:b/>
          <w:bCs/>
        </w:rPr>
        <w:t xml:space="preserve"> </w:t>
      </w:r>
      <m:oMath>
        <m:r>
          <m:t>520</m:t>
        </m:r>
        <m:r>
          <m:t>M</m:t>
        </m:r>
        <m:r>
          <m:rPr>
            <m:sty m:val="p"/>
          </m:rPr>
          <m:t>–</m:t>
        </m:r>
      </m:oMath>
      <w:r>
        <w:rPr>
          <w:b/>
          <w:bCs/>
        </w:rPr>
        <w:t xml:space="preserve">570M enterprise EBITDA range?</w:t>
      </w:r>
      <w:r>
        <w:t xml:space="preserve"> </w:t>
      </w:r>
      <w:r>
        <w:t xml:space="preserve">After four straight misses, simply hitting the number matters as much as the number itself for restoring credibility in the 2H26 bridge.</w:t>
      </w:r>
    </w:p>
    <w:p>
      <w:pPr>
        <w:pStyle w:val="Compact"/>
        <w:numPr>
          <w:ilvl w:val="0"/>
          <w:numId w:val="1003"/>
        </w:numPr>
      </w:pPr>
      <w:r>
        <w:rPr>
          <w:b/>
          <w:bCs/>
        </w:rPr>
        <w:t xml:space="preserve">North America execution</w:t>
      </w:r>
      <w:r>
        <w:t xml:space="preserve">: watch price/mix realization, the Riverdale conversion completion/ramp (a known "near-term headwind, long-term tailwind"), the outsized Q2 maintenance/outage schedule (roughly double normal), and whether reliability/productivity gains are showing up net of the ~$150M of "ancillary cost" execution risk management flagged as the biggest wildcard in the H2 bridge.</w:t>
      </w:r>
    </w:p>
    <w:p>
      <w:pPr>
        <w:pStyle w:val="Compact"/>
        <w:numPr>
          <w:ilvl w:val="0"/>
          <w:numId w:val="1003"/>
        </w:numPr>
      </w:pPr>
      <w:r>
        <w:rPr>
          <w:b/>
          <w:bCs/>
        </w:rPr>
        <w:t xml:space="preserve">EMEA margin trough confirmation</w:t>
      </w:r>
      <w:r>
        <w:t xml:space="preserve">: is the margin compression from the paper-price/packaging-price lag playing out as expected, and is volume recovering as guided (March/April momentum continuing)? Energy cost trends given the Middle East conflict backdrop are also a swing factor.</w:t>
      </w:r>
    </w:p>
    <w:p>
      <w:pPr>
        <w:pStyle w:val="Compact"/>
        <w:numPr>
          <w:ilvl w:val="0"/>
          <w:numId w:val="1003"/>
        </w:numPr>
      </w:pPr>
      <w:r>
        <w:rPr>
          <w:b/>
          <w:bCs/>
        </w:rPr>
        <w:t xml:space="preserve">Balance sheet and cash flow</w:t>
      </w:r>
      <w:r>
        <w:t xml:space="preserve">: further debt paydown following the $1.1B Global Cellulose Fibers sale proceeds and $660M paydown in Q1; capex pace against the</w:t>
      </w:r>
      <w:r>
        <w:t xml:space="preserve"> </w:t>
      </w:r>
      <m:oMath>
        <m:r>
          <m:t>1.95</m:t>
        </m:r>
        <m:r>
          <m:t>B</m:t>
        </m:r>
        <m:r>
          <m:rPr>
            <m:sty m:val="p"/>
          </m:rPr>
          <m:t>−</m:t>
        </m:r>
      </m:oMath>
      <w:r>
        <w:t xml:space="preserve">2.05B full-year plan; FCF trajectory toward the</w:t>
      </w:r>
      <w:r>
        <w:t xml:space="preserve"> </w:t>
      </w:r>
      <m:oMath>
        <m:r>
          <m:t>300</m:t>
        </m:r>
        <m:r>
          <m:t>M</m:t>
        </m:r>
        <m:r>
          <m:rPr>
            <m:sty m:val="p"/>
          </m:rPr>
          <m:t>−</m:t>
        </m:r>
      </m:oMath>
      <w:r>
        <w:t xml:space="preserve">500M full-year target.</w:t>
      </w:r>
    </w:p>
    <w:p>
      <w:pPr>
        <w:pStyle w:val="Compact"/>
        <w:numPr>
          <w:ilvl w:val="0"/>
          <w:numId w:val="1003"/>
        </w:numPr>
      </w:pPr>
      <w:r>
        <w:rPr>
          <w:b/>
          <w:bCs/>
        </w:rPr>
        <w:t xml:space="preserve">Guidance revision</w:t>
      </w:r>
      <w:r>
        <w:t xml:space="preserve">: given the new Sept 1 $80/ton NA price action (announced after the original FY26 guide was set), does management raise or reiterate the</w:t>
      </w:r>
      <w:r>
        <w:t xml:space="preserve"> </w:t>
      </w:r>
      <m:oMath>
        <m:r>
          <m:t>3.2</m:t>
        </m:r>
        <m:r>
          <m:t>B</m:t>
        </m:r>
        <m:r>
          <m:rPr>
            <m:sty m:val="p"/>
          </m:rPr>
          <m:t>−</m:t>
        </m:r>
      </m:oMath>
      <w:r>
        <w:t xml:space="preserve">3.5B FY26 EBITDA outlook or the longer-term ~$5B 2027 target? Notably, management said the 2027 bridge only includes pricing "published so far" — the newest hike is incremental upside optionality if it sticks.</w:t>
      </w:r>
    </w:p>
    <w:p>
      <w:pPr>
        <w:pStyle w:val="Compact"/>
        <w:numPr>
          <w:ilvl w:val="0"/>
          <w:numId w:val="1003"/>
        </w:numPr>
      </w:pPr>
      <w:r>
        <w:rPr>
          <w:b/>
          <w:bCs/>
        </w:rPr>
        <w:t xml:space="preserve">EMEA separation progress</w:t>
      </w:r>
      <w:r>
        <w:t xml:space="preserve">: any milestone updates on the planned 12-15 month split into independent NA and EMEA-listed entities, structural/regulatory progress, and separation cost estimates.</w:t>
      </w:r>
    </w:p>
    <w:p>
      <w:pPr>
        <w:pStyle w:val="Compact"/>
        <w:numPr>
          <w:ilvl w:val="0"/>
          <w:numId w:val="1003"/>
        </w:numPr>
      </w:pPr>
      <w:r>
        <w:rPr>
          <w:b/>
          <w:bCs/>
        </w:rPr>
        <w:t xml:space="preserve">Tone on demand</w:t>
      </w:r>
      <w:r>
        <w:t xml:space="preserve">: any change to the "modestly cautious consumer" characterization in the US, and confirmation of the roughly flat 2026 industry volume outlook against the stronger demand signal from PCA's results.</w:t>
      </w:r>
    </w:p>
    <w:p>
      <w:r>
        <w:pict>
          <v:rect style="width:0;height:1.5pt" o:hralign="center" o:hrstd="t" o:hr="t"/>
        </w:pict>
      </w:r>
    </w:p>
    <w:bookmarkEnd w:id="12"/>
    <w:bookmarkStart w:id="13" w:name="X57628814808a35a4369fd5359a6196ebc53c3e9"/>
    <w:p>
      <w:pPr>
        <w:pStyle w:val="Heading2"/>
      </w:pPr>
      <w:r>
        <w:t xml:space="preserve">5. Bottom Line</w:t>
      </w:r>
    </w:p>
    <w:p>
      <w:pPr>
        <w:pStyle w:val="FirstParagraph"/>
      </w:pPr>
      <w:r>
        <w:t xml:space="preserve">This is a "show me" quarter. The setup has improved markedly on the back of industry-wide containerboard price increases and a bullish JPMorgan call, but IP still needs to prove out the specific, quantified cost and pricing bridge it laid out in April after cutting guidance and missing estimates for a fourth straight quarter. A clean Q2 print inside the guided range, tangible progress on reliability/cost-out, and constructive commentary on the new pricing round would validate the recent rally and the 2H26 acceleration story. A miss or fresh guidance walk-back — particularly out of EMEA, where BofA's bearish call centered — would revive skepticism about execution just as the stock has run up nearly 20% in three weeks.</w:t>
      </w:r>
    </w:p>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2026-07-29T18:53:02Z</dcterms:created>
  <dcterms:modified xsi:type="dcterms:W3CDTF">2026-07-29T18:53:02Z</dcterms:modified>
</cp:coreProperties>
</file>

<file path=docProps/custom.xml><?xml version="1.0" encoding="utf-8"?>
<Properties xmlns="http://schemas.openxmlformats.org/officeDocument/2006/custom-properties" xmlns:vt="http://schemas.openxmlformats.org/officeDocument/2006/docPropsVTypes"/>
</file>