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5cc921da8942684105e1934116cdb1e628b9d7"/>
    <w:p>
      <w:pPr>
        <w:pStyle w:val="Heading1"/>
      </w:pPr>
      <w:r>
        <w:t xml:space="preserve">International Paper Q2 2026 Earnings Preview</w:t>
      </w:r>
    </w:p>
    <w:p>
      <w:pPr>
        <w:pStyle w:val="FirstParagraph"/>
      </w:pPr>
      <w:r>
        <w:rPr>
          <w:b/>
          <w:bCs/>
        </w:rPr>
        <w:t xml:space="preserve">Report date:</w:t>
      </w:r>
      <w:r>
        <w:t xml:space="preserve"> </w:t>
      </w:r>
      <w:r>
        <w:t xml:space="preserve">July 30, 2026, before the NYSE open</w:t>
      </w:r>
      <w:r>
        <w:br/>
      </w:r>
      <w:r>
        <w:rPr>
          <w:b/>
          <w:bCs/>
        </w:rPr>
        <w:t xml:space="preserve">Earnings call:</w:t>
      </w:r>
      <w:r>
        <w:t xml:space="preserve"> </w:t>
      </w:r>
      <w:r>
        <w:t xml:space="preserve">10:00 a.m. ET</w:t>
      </w:r>
      <w:r>
        <w:br/>
      </w:r>
      <w:r>
        <w:rPr>
          <w:b/>
          <w:bCs/>
        </w:rPr>
        <w:t xml:space="preserve">Ticker:</w:t>
      </w:r>
      <w:r>
        <w:t xml:space="preserve"> </w:t>
      </w:r>
      <w:r>
        <w:t xml:space="preserve">NYSE: IP</w:t>
      </w:r>
    </w:p>
    <w:bookmarkStart w:id="9" w:name="investment-view-going-into-the-report"/>
    <w:p>
      <w:pPr>
        <w:pStyle w:val="Heading2"/>
      </w:pPr>
      <w:r>
        <w:t xml:space="preserve">Investment view going into the report</w:t>
      </w:r>
    </w:p>
    <w:p>
      <w:pPr>
        <w:pStyle w:val="FirstParagraph"/>
      </w:pPr>
      <w:r>
        <w:t xml:space="preserve">International Paper’s second quarter was always expected to be the low point of 2026. Heavy maintenance spending, the Riverdale machine conversion, delayed pricing recovery and peak margin compression in Europe should produce a sequential EBITDA decline.</w:t>
      </w:r>
    </w:p>
    <w:p>
      <w:pPr>
        <w:pStyle w:val="BodyText"/>
      </w:pPr>
      <w:r>
        <w:t xml:space="preserve">Accordingly, the most important question is</w:t>
      </w:r>
      <w:r>
        <w:t xml:space="preserve"> </w:t>
      </w:r>
      <w:r>
        <w:rPr>
          <w:b/>
          <w:bCs/>
        </w:rPr>
        <w:t xml:space="preserve">not whether Q2 looks weak—it should—but whether management can substantiate the sharp earnings recovery embedded in second-half guidance</w:t>
      </w:r>
      <w:r>
        <w:t xml:space="preserve">.</w:t>
      </w:r>
    </w:p>
    <w:p>
      <w:pPr>
        <w:pStyle w:val="BodyText"/>
      </w:pPr>
      <w:r>
        <w:t xml:space="preserve">The backdrop has improved in one important respect: North American containerboard markets have tightened materially, and IP reportedly notified customers of an</w:t>
      </w:r>
      <w:r>
        <w:t xml:space="preserve"> </w:t>
      </w:r>
      <w:r>
        <w:rPr>
          <w:b/>
          <w:bCs/>
        </w:rPr>
        <w:t xml:space="preserve">$80-per-ton containerboard increase effective September 1</w:t>
      </w:r>
      <w:r>
        <w:t xml:space="preserve">. However, freight, recycled fiber, chemicals and European energy remain substantial headwinds. Investors should distinguish between price increases needed merely to recover inflation and pricing that expands margins.</w:t>
      </w:r>
    </w:p>
    <w:p>
      <w:pPr>
        <w:pStyle w:val="BodyText"/>
      </w:pPr>
      <w:r>
        <w:t xml:space="preserve">The stock also enters earnings with more optimism priced in. IP closed at</w:t>
      </w:r>
      <w:r>
        <w:t xml:space="preserve"> </w:t>
      </w:r>
      <w:r>
        <w:rPr>
          <w:b/>
          <w:bCs/>
        </w:rPr>
        <w:t xml:space="preserve">$42.85 on July 29</w:t>
      </w:r>
      <w:r>
        <w:t xml:space="preserve">, approximately 41% above its April 30 close, helped by recent pricing announcements and an analyst upgrade. A simple guidance reaffirmation may therefore be necessary but not sufficient; investors will want better execution and increased confidence in the second-half bridge.</w:t>
      </w:r>
    </w:p>
    <w:p>
      <w:r>
        <w:pict>
          <v:rect style="width:0;height:1.5pt" o:hralign="center" o:hrstd="t" o:hr="t"/>
        </w:pict>
      </w:r>
    </w:p>
    <w:bookmarkEnd w:id="9"/>
    <w:bookmarkStart w:id="10" w:name="key-financial-benchmarks"/>
    <w:p>
      <w:pPr>
        <w:pStyle w:val="Heading2"/>
      </w:pPr>
      <w:r>
        <w:t xml:space="preserve">Key financial benchmarks</w:t>
      </w:r>
    </w:p>
    <w:p>
      <w:pPr>
        <w:pStyle w:val="FirstParagraph"/>
      </w:pPr>
      <w:r>
        <w:t xml:space="preserve">Management’s April outlook provides the cleanest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2026 guidance</w:t>
            </w:r>
          </w:p>
        </w:tc>
        <w:tc>
          <w:tcPr/>
          <w:p>
            <w:pPr>
              <w:pStyle w:val="Compact"/>
              <w:jc w:val="right"/>
            </w:pPr>
            <w:r>
              <w:t xml:space="preserve">FY2026 guidance</w:t>
            </w:r>
          </w:p>
        </w:tc>
      </w:tr>
      <w:tr>
        <w:tc>
          <w:tcPr/>
          <w:p>
            <w:pPr>
              <w:pStyle w:val="Compact"/>
            </w:pPr>
            <w:r>
              <w:t xml:space="preserve">Adjusted EBITDA — enterprise</w:t>
            </w:r>
          </w:p>
        </w:tc>
        <w:tc>
          <w:tcPr/>
          <w:p>
            <w:pPr>
              <w:pStyle w:val="Compact"/>
              <w:jc w:val="right"/>
            </w:pPr>
            <w:r>
              <w:t xml:space="preserve">$677M</w:t>
            </w:r>
          </w:p>
        </w:tc>
        <w:tc>
          <w:tcPr/>
          <w:p>
            <w:pPr>
              <w:pStyle w:val="Compact"/>
              <w:jc w:val="right"/>
            </w:pPr>
            <m:oMath>
              <m:r>
                <m:t>520</m:t>
              </m:r>
              <m:r>
                <m:t>M</m:t>
              </m:r>
              <m:r>
                <m:rPr>
                  <m:sty m:val="p"/>
                </m:rPr>
                <m:t>–</m:t>
              </m:r>
            </m:oMath>
            <w:r>
              <w:rPr>
                <w:b/>
                <w:bCs/>
              </w:rPr>
              <w:t xml:space="preserve">570M</w:t>
            </w:r>
          </w:p>
        </w:tc>
        <w:tc>
          <w:tcPr/>
          <w:p>
            <w:pPr>
              <w:pStyle w:val="Compact"/>
              <w:jc w:val="right"/>
            </w:pPr>
            <m:oMath>
              <m:r>
                <m:t>3.20</m:t>
              </m:r>
              <m:r>
                <m:t>B</m:t>
              </m:r>
              <m:r>
                <m:rPr>
                  <m:sty m:val="p"/>
                </m:rPr>
                <m:t>–</m:t>
              </m:r>
            </m:oMath>
            <w:r>
              <w:rPr>
                <w:b/>
                <w:bCs/>
              </w:rPr>
              <w:t xml:space="preserve">3.50B</w:t>
            </w:r>
          </w:p>
        </w:tc>
      </w:tr>
      <w:tr>
        <w:tc>
          <w:tcPr/>
          <w:p>
            <w:pPr>
              <w:pStyle w:val="Compact"/>
            </w:pPr>
            <w:r>
              <w:t xml:space="preserve">Packaging Solutions North America EBITDA</w:t>
            </w:r>
          </w:p>
        </w:tc>
        <w:tc>
          <w:tcPr/>
          <w:p>
            <w:pPr>
              <w:pStyle w:val="Compact"/>
              <w:jc w:val="right"/>
            </w:pPr>
            <w:r>
              <w:t xml:space="preserve">$477M</w:t>
            </w:r>
          </w:p>
        </w:tc>
        <w:tc>
          <w:tcPr/>
          <w:p>
            <w:pPr>
              <w:pStyle w:val="Compact"/>
              <w:jc w:val="right"/>
            </w:pPr>
            <m:oMath>
              <m:r>
                <m:t>380</m:t>
              </m:r>
              <m:r>
                <m:t>M</m:t>
              </m:r>
              <m:r>
                <m:rPr>
                  <m:sty m:val="p"/>
                </m:rPr>
                <m:t>–</m:t>
              </m:r>
            </m:oMath>
            <w:r>
              <w:rPr>
                <w:b/>
                <w:bCs/>
              </w:rPr>
              <w:t xml:space="preserve">410M</w:t>
            </w:r>
          </w:p>
        </w:tc>
        <w:tc>
          <w:tcPr/>
          <w:p>
            <w:pPr>
              <w:pStyle w:val="Compact"/>
              <w:jc w:val="right"/>
            </w:pPr>
            <m:oMath>
              <m:r>
                <m:t>2.35</m:t>
              </m:r>
              <m:r>
                <m:t>B</m:t>
              </m:r>
              <m:r>
                <m:rPr>
                  <m:sty m:val="p"/>
                </m:rPr>
                <m:t>–</m:t>
              </m:r>
            </m:oMath>
            <w:r>
              <w:rPr>
                <w:b/>
                <w:bCs/>
              </w:rPr>
              <w:t xml:space="preserve">2.50B</w:t>
            </w:r>
          </w:p>
        </w:tc>
      </w:tr>
      <w:tr>
        <w:tc>
          <w:tcPr/>
          <w:p>
            <w:pPr>
              <w:pStyle w:val="Compact"/>
            </w:pPr>
            <w:r>
              <w:t xml:space="preserve">Packaging Solutions EMEA EBITDA</w:t>
            </w:r>
          </w:p>
        </w:tc>
        <w:tc>
          <w:tcPr/>
          <w:p>
            <w:pPr>
              <w:pStyle w:val="Compact"/>
              <w:jc w:val="right"/>
            </w:pPr>
            <w:r>
              <w:t xml:space="preserve">$208M</w:t>
            </w:r>
          </w:p>
        </w:tc>
        <w:tc>
          <w:tcPr/>
          <w:p>
            <w:pPr>
              <w:pStyle w:val="Compact"/>
              <w:jc w:val="right"/>
            </w:pPr>
            <m:oMath>
              <m:r>
                <m:t>150</m:t>
              </m:r>
              <m:r>
                <m:t>M</m:t>
              </m:r>
              <m:r>
                <m:rPr>
                  <m:sty m:val="p"/>
                </m:rPr>
                <m:t>–</m:t>
              </m:r>
            </m:oMath>
            <w:r>
              <w:rPr>
                <w:b/>
                <w:bCs/>
              </w:rPr>
              <w:t xml:space="preserve">170M</w:t>
            </w:r>
          </w:p>
        </w:tc>
        <w:tc>
          <w:tcPr/>
          <w:p>
            <w:pPr>
              <w:pStyle w:val="Compact"/>
              <w:jc w:val="right"/>
            </w:pPr>
            <m:oMath>
              <m:r>
                <m:t>900</m:t>
              </m:r>
              <m:r>
                <m:t>M</m:t>
              </m:r>
              <m:r>
                <m:rPr>
                  <m:sty m:val="p"/>
                </m:rPr>
                <m:t>–</m:t>
              </m:r>
            </m:oMath>
            <w:r>
              <w:rPr>
                <w:b/>
                <w:bCs/>
              </w:rPr>
              <w:t xml:space="preserve">1.00B</w:t>
            </w:r>
          </w:p>
        </w:tc>
      </w:tr>
      <w:tr>
        <w:tc>
          <w:tcPr/>
          <w:p>
            <w:pPr>
              <w:pStyle w:val="Compact"/>
            </w:pPr>
            <w:r>
              <w:t xml:space="preserve">Free cash flow</w:t>
            </w:r>
          </w:p>
        </w:tc>
        <w:tc>
          <w:tcPr/>
          <w:p>
            <w:pPr>
              <w:pStyle w:val="Compact"/>
              <w:jc w:val="right"/>
            </w:pPr>
            <w:r>
              <w:t xml:space="preserve">$94M</w:t>
            </w:r>
          </w:p>
        </w:tc>
        <w:tc>
          <w:tcPr/>
          <w:p>
            <w:pPr>
              <w:pStyle w:val="Compact"/>
              <w:jc w:val="right"/>
            </w:pPr>
            <w:r>
              <w:t xml:space="preserve">—</w:t>
            </w:r>
          </w:p>
        </w:tc>
        <w:tc>
          <w:tcPr/>
          <w:p>
            <w:pPr>
              <w:pStyle w:val="Compact"/>
              <w:jc w:val="right"/>
            </w:pPr>
            <m:oMath>
              <m:r>
                <m:t>300</m:t>
              </m:r>
              <m:r>
                <m:t>M</m:t>
              </m:r>
              <m:r>
                <m:rPr>
                  <m:sty m:val="p"/>
                </m:rPr>
                <m:t>–</m:t>
              </m:r>
            </m:oMath>
            <w:r>
              <w:rPr>
                <w:b/>
                <w:bCs/>
              </w:rPr>
              <w:t xml:space="preserve">500M</w:t>
            </w:r>
          </w:p>
        </w:tc>
      </w:tr>
    </w:tbl>
    <w:p>
      <w:pPr>
        <w:pStyle w:val="BodyText"/>
      </w:pPr>
      <w:r>
        <w:t xml:space="preserve">At the midpoint, Q2 enterprise EBITDA guidance is</w:t>
      </w:r>
      <w:r>
        <w:t xml:space="preserve"> </w:t>
      </w:r>
      <w:r>
        <w:rPr>
          <w:b/>
          <w:bCs/>
        </w:rPr>
        <w:t xml:space="preserve">$545 million</w:t>
      </w:r>
      <w:r>
        <w:t xml:space="preserve">, down approximately 20% sequentially. That decline is largely anticipated. The bigger issue is that full-year guidance implies a major acceleration after June.</w:t>
      </w:r>
    </w:p>
    <w:p>
      <w:pPr>
        <w:pStyle w:val="BodyText"/>
      </w:pPr>
      <w:r>
        <w:t xml:space="preserve">Based on the existing outlook, first-half adjusted EBITDA would be roughly</w:t>
      </w:r>
      <w:r>
        <w:t xml:space="preserve"> </w:t>
      </w:r>
      <m:oMath>
        <m:r>
          <m:t>1.20</m:t>
        </m:r>
        <m:r>
          <m:t>b</m:t>
        </m:r>
        <m:r>
          <m:t>i</m:t>
        </m:r>
        <m:r>
          <m:t>l</m:t>
        </m:r>
        <m:r>
          <m:t>l</m:t>
        </m:r>
        <m:r>
          <m:t>i</m:t>
        </m:r>
        <m:r>
          <m:t>o</m:t>
        </m:r>
        <m:r>
          <m:t>n</m:t>
        </m:r>
        <m:r>
          <m:rPr>
            <m:sty m:val="p"/>
          </m:rPr>
          <m:t>–</m:t>
        </m:r>
      </m:oMath>
      <w:r>
        <w:rPr>
          <w:b/>
          <w:bCs/>
        </w:rPr>
        <w:t xml:space="preserve">1.25 billion</w:t>
      </w:r>
      <w:r>
        <w:t xml:space="preserve">, while the full-year target requires approximately</w:t>
      </w:r>
      <w:r>
        <w:t xml:space="preserve"> </w:t>
      </w:r>
      <m:oMath>
        <m:r>
          <m:t>1.95</m:t>
        </m:r>
        <m:r>
          <m:t>b</m:t>
        </m:r>
        <m:r>
          <m:t>i</m:t>
        </m:r>
        <m:r>
          <m:t>l</m:t>
        </m:r>
        <m:r>
          <m:t>l</m:t>
        </m:r>
        <m:r>
          <m:t>i</m:t>
        </m:r>
        <m:r>
          <m:t>o</m:t>
        </m:r>
        <m:r>
          <m:t>n</m:t>
        </m:r>
        <m:r>
          <m:rPr>
            <m:sty m:val="p"/>
          </m:rPr>
          <m:t>–</m:t>
        </m:r>
      </m:oMath>
      <w:r>
        <w:rPr>
          <w:b/>
          <w:bCs/>
        </w:rPr>
        <w:t xml:space="preserve">2.30 billion</w:t>
      </w:r>
      <w:r>
        <w:t xml:space="preserve"> </w:t>
      </w:r>
      <w:r>
        <w:t xml:space="preserve">in the second half. That is a demanding ramp and leaves limited room for additional execution problems.</w:t>
      </w:r>
    </w:p>
    <w:p>
      <w:r>
        <w:pict>
          <v:rect style="width:0;height:1.5pt" o:hralign="center" o:hrstd="t" o:hr="t"/>
        </w:pict>
      </w:r>
    </w:p>
    <w:bookmarkEnd w:id="10"/>
    <w:bookmarkStart w:id="13" w:name="Xbc7acdf52e9682264a3723b46eafd2fedcd9b68"/>
    <w:p>
      <w:pPr>
        <w:pStyle w:val="Heading2"/>
      </w:pPr>
      <w:r>
        <w:t xml:space="preserve">1. North America: Look through the outage-heavy quarter</w:t>
      </w:r>
    </w:p>
    <w:bookmarkStart w:id="11" w:name="what-management-previously-forecast"/>
    <w:p>
      <w:pPr>
        <w:pStyle w:val="Heading3"/>
      </w:pPr>
      <w:r>
        <w:t xml:space="preserve">What management previously forecast</w:t>
      </w:r>
    </w:p>
    <w:p>
      <w:pPr>
        <w:pStyle w:val="FirstParagraph"/>
      </w:pPr>
      <w:r>
        <w:t xml:space="preserve">North American Q2 EBITDA was guided to</w:t>
      </w:r>
      <w:r>
        <w:t xml:space="preserve"> </w:t>
      </w:r>
      <m:oMath>
        <m:r>
          <m:t>380</m:t>
        </m:r>
        <m:r>
          <m:t>m</m:t>
        </m:r>
        <m:r>
          <m:t>i</m:t>
        </m:r>
        <m:r>
          <m:t>l</m:t>
        </m:r>
        <m:r>
          <m:t>l</m:t>
        </m:r>
        <m:r>
          <m:t>i</m:t>
        </m:r>
        <m:r>
          <m:t>o</m:t>
        </m:r>
        <m:r>
          <m:t>n</m:t>
        </m:r>
        <m:r>
          <m:rPr>
            <m:sty m:val="p"/>
          </m:rPr>
          <m:t>–</m:t>
        </m:r>
      </m:oMath>
      <w:r>
        <w:rPr>
          <w:b/>
          <w:bCs/>
        </w:rPr>
        <w:t xml:space="preserve">410 million</w:t>
      </w:r>
      <w:r>
        <w:t xml:space="preserve">, versus $477 million in Q1. The sequential decline reflects:</w:t>
      </w:r>
    </w:p>
    <w:p>
      <w:pPr>
        <w:pStyle w:val="Compact"/>
        <w:numPr>
          <w:ilvl w:val="0"/>
          <w:numId w:val="1001"/>
        </w:numPr>
      </w:pPr>
      <w:r>
        <w:t xml:space="preserve">A maintenance schedule roughly twice the normal quarterly level.</w:t>
      </w:r>
    </w:p>
    <w:p>
      <w:pPr>
        <w:pStyle w:val="Compact"/>
        <w:numPr>
          <w:ilvl w:val="0"/>
          <w:numId w:val="1001"/>
        </w:numPr>
      </w:pPr>
      <w:r>
        <w:t xml:space="preserve">Spending and downtime associated with the Riverdale paper-machine conversion.</w:t>
      </w:r>
    </w:p>
    <w:p>
      <w:pPr>
        <w:pStyle w:val="Compact"/>
        <w:numPr>
          <w:ilvl w:val="0"/>
          <w:numId w:val="1001"/>
        </w:numPr>
      </w:pPr>
      <w:r>
        <w:t xml:space="preserve">Costs from additional machine work performed alongside planned outages.</w:t>
      </w:r>
    </w:p>
    <w:p>
      <w:pPr>
        <w:pStyle w:val="Compact"/>
        <w:numPr>
          <w:ilvl w:val="0"/>
          <w:numId w:val="1001"/>
        </w:numPr>
      </w:pPr>
      <w:r>
        <w:t xml:space="preserve">Continued pressure from freight and old corrugated container, or OCC.</w:t>
      </w:r>
    </w:p>
    <w:p>
      <w:pPr>
        <w:pStyle w:val="Compact"/>
        <w:numPr>
          <w:ilvl w:val="0"/>
          <w:numId w:val="1001"/>
        </w:numPr>
      </w:pPr>
      <w:r>
        <w:t xml:space="preserve">Partial realization of the February $20-per-ton published price decline.</w:t>
      </w:r>
    </w:p>
    <w:p>
      <w:pPr>
        <w:pStyle w:val="FirstParagraph"/>
      </w:pPr>
      <w:r>
        <w:t xml:space="preserve">Offsets were expected from:</w:t>
      </w:r>
    </w:p>
    <w:p>
      <w:pPr>
        <w:pStyle w:val="Compact"/>
        <w:numPr>
          <w:ilvl w:val="0"/>
          <w:numId w:val="1002"/>
        </w:numPr>
      </w:pPr>
      <w:r>
        <w:t xml:space="preserve">Seasonal volume improvement and one additional shipping day.</w:t>
      </w:r>
    </w:p>
    <w:p>
      <w:pPr>
        <w:pStyle w:val="Compact"/>
        <w:numPr>
          <w:ilvl w:val="0"/>
          <w:numId w:val="1002"/>
        </w:numPr>
      </w:pPr>
      <w:r>
        <w:t xml:space="preserve">Favorable product mix.</w:t>
      </w:r>
    </w:p>
    <w:p>
      <w:pPr>
        <w:pStyle w:val="Compact"/>
        <w:numPr>
          <w:ilvl w:val="0"/>
          <w:numId w:val="1002"/>
        </w:numPr>
      </w:pPr>
      <w:r>
        <w:t xml:space="preserve">The nonrecurrence of Q1’s approximately $53 million winter-storm impact.</w:t>
      </w:r>
    </w:p>
    <w:p>
      <w:pPr>
        <w:pStyle w:val="Compact"/>
        <w:numPr>
          <w:ilvl w:val="0"/>
          <w:numId w:val="1002"/>
        </w:numPr>
      </w:pPr>
      <w:r>
        <w:t xml:space="preserve">Seasonally lower energy costs.</w:t>
      </w:r>
    </w:p>
    <w:p>
      <w:pPr>
        <w:pStyle w:val="Compact"/>
        <w:numPr>
          <w:ilvl w:val="0"/>
          <w:numId w:val="1002"/>
        </w:numPr>
      </w:pPr>
      <w:r>
        <w:t xml:space="preserve">Distribution and footprint cost reductions.</w:t>
      </w:r>
    </w:p>
    <w:p>
      <w:pPr>
        <w:pStyle w:val="FirstParagraph"/>
      </w:pPr>
      <w:r>
        <w:t xml:space="preserve">The March and April published price increases—$40 and $30 per ton, respectively—were not expected to meaningfully benefit earnings until Q3.</w:t>
      </w:r>
    </w:p>
    <w:bookmarkEnd w:id="11"/>
    <w:bookmarkStart w:id="12" w:name="what-to-watch"/>
    <w:p>
      <w:pPr>
        <w:pStyle w:val="Heading3"/>
      </w:pPr>
      <w:r>
        <w:t xml:space="preserve">What to watch</w:t>
      </w:r>
    </w:p>
    <w:p>
      <w:pPr>
        <w:pStyle w:val="FirstParagraph"/>
      </w:pPr>
      <w:r>
        <w:rPr>
          <w:b/>
          <w:bCs/>
        </w:rPr>
        <w:t xml:space="preserve">Volume and market-share performance:</w:t>
      </w:r>
      <w:r>
        <w:t xml:space="preserve"> </w:t>
      </w:r>
      <w:r>
        <w:t xml:space="preserve">IP entered Q2 expecting its North American box shipments to rise roughly 3% while the broader industry remained approximately flat. This would extend the company’s recent above-market performance and help validate its commercial restructuring.</w:t>
      </w:r>
    </w:p>
    <w:p>
      <w:pPr>
        <w:pStyle w:val="BodyText"/>
      </w:pPr>
      <w:r>
        <w:rPr>
          <w:b/>
          <w:bCs/>
        </w:rPr>
        <w:t xml:space="preserve">Riverdale execution:</w:t>
      </w:r>
      <w:r>
        <w:t xml:space="preserve"> </w:t>
      </w:r>
      <w:r>
        <w:t xml:space="preserve">Investors need confirmation that the conversion was completed on schedule, within budget and without a slower-than-planned ramp. Management previously identified ramp risk as one of the few uncertainties around the large second-half EBITDA recovery.</w:t>
      </w:r>
    </w:p>
    <w:p>
      <w:pPr>
        <w:pStyle w:val="BodyText"/>
      </w:pPr>
      <w:r>
        <w:rPr>
          <w:b/>
          <w:bCs/>
        </w:rPr>
        <w:t xml:space="preserve">Mill reliability:</w:t>
      </w:r>
      <w:r>
        <w:t xml:space="preserve"> </w:t>
      </w:r>
      <w:r>
        <w:t xml:space="preserve">IP has shown better utilization and productivity at its core assets, but reliability-related and “transformation” costs have repeatedly exceeded expectations. The company must demonstrate that reported productivity gains are now reaching EBITDA rather than being offset elsewhere in the network.</w:t>
      </w:r>
    </w:p>
    <w:p>
      <w:pPr>
        <w:pStyle w:val="BodyText"/>
      </w:pPr>
      <w:r>
        <w:rPr>
          <w:b/>
          <w:bCs/>
        </w:rPr>
        <w:t xml:space="preserve">Cost inflation:</w:t>
      </w:r>
      <w:r>
        <w:t xml:space="preserve"> </w:t>
      </w:r>
      <w:r>
        <w:t xml:space="preserve">Recent peer results suggest that freight, OCC, chemicals and purchased electricity probably ran worse than assumed in April. Packaging Corp. of America reported strong corrugated demand but highlighted elevated freight and a roughly 70% year-to-date increase in OCC costs. That is supportive of IP’s volumes and pricing, but adverse for near-term margins.</w:t>
      </w:r>
    </w:p>
    <w:p>
      <w:pPr>
        <w:pStyle w:val="BodyText"/>
      </w:pPr>
      <w:r>
        <w:t xml:space="preserve">A result near the upper half of the North American range would be encouraging, particularly if Riverdale is complete and cost-out remains on schedule. A miss attributed to another round of “unplanned” execution costs would be much harder for investors to dismiss.</w:t>
      </w:r>
    </w:p>
    <w:p>
      <w:r>
        <w:pict>
          <v:rect style="width:0;height:1.5pt" o:hralign="center" o:hrstd="t" o:hr="t"/>
        </w:pict>
      </w:r>
    </w:p>
    <w:bookmarkEnd w:id="12"/>
    <w:bookmarkEnd w:id="13"/>
    <w:bookmarkStart w:id="14" w:name="X10e4f99a24766fb21669ea4ca97f5c8e4e2b3c1"/>
    <w:p>
      <w:pPr>
        <w:pStyle w:val="Heading2"/>
      </w:pPr>
      <w:r>
        <w:t xml:space="preserve">2. The new $80 price increase changes the forward debate</w:t>
      </w:r>
    </w:p>
    <w:p>
      <w:pPr>
        <w:pStyle w:val="FirstParagraph"/>
      </w:pPr>
      <w:r>
        <w:t xml:space="preserve">IP reportedly plans to raise containerboard prices by</w:t>
      </w:r>
      <w:r>
        <w:t xml:space="preserve"> </w:t>
      </w:r>
      <w:r>
        <w:rPr>
          <w:b/>
          <w:bCs/>
        </w:rPr>
        <w:t xml:space="preserve">$80 per ton effective September 1</w:t>
      </w:r>
      <w:r>
        <w:t xml:space="preserve">, following larger increases announced elsewhere in the industry. The announcement reflects tighter supply as well as higher freight, recycled fiber, chemical and power costs.</w:t>
      </w:r>
    </w:p>
    <w:p>
      <w:pPr>
        <w:pStyle w:val="BodyText"/>
      </w:pPr>
      <w:r>
        <w:t xml:space="preserve">This will have little or no bearing on Q2 results. Its significance lies in Q4, 2027 and the credibility of management’s longer-term earnings targets.</w:t>
      </w:r>
    </w:p>
    <w:p>
      <w:pPr>
        <w:pStyle w:val="BodyText"/>
      </w:pPr>
      <w:r>
        <w:t xml:space="preserve">Key questions for the call include:</w:t>
      </w:r>
    </w:p>
    <w:p>
      <w:pPr>
        <w:pStyle w:val="Compact"/>
        <w:numPr>
          <w:ilvl w:val="0"/>
          <w:numId w:val="1003"/>
        </w:numPr>
      </w:pPr>
      <w:r>
        <w:rPr>
          <w:b/>
          <w:bCs/>
        </w:rPr>
        <w:t xml:space="preserve">Is any benefit from the new increase included in 2026 guidance?</w:t>
      </w:r>
    </w:p>
    <w:p>
      <w:pPr>
        <w:pStyle w:val="Compact"/>
        <w:numPr>
          <w:ilvl w:val="0"/>
          <w:numId w:val="1003"/>
        </w:numPr>
      </w:pPr>
      <w:r>
        <w:rPr>
          <w:b/>
          <w:bCs/>
        </w:rPr>
        <w:t xml:space="preserve">How much would affect external containerboard sales versus contracted box prices?</w:t>
      </w:r>
    </w:p>
    <w:p>
      <w:pPr>
        <w:pStyle w:val="Compact"/>
        <w:numPr>
          <w:ilvl w:val="0"/>
          <w:numId w:val="1003"/>
        </w:numPr>
      </w:pPr>
      <w:r>
        <w:rPr>
          <w:b/>
          <w:bCs/>
        </w:rPr>
        <w:t xml:space="preserve">When should box-price realization begin?</w:t>
      </w:r>
    </w:p>
    <w:p>
      <w:pPr>
        <w:pStyle w:val="Compact"/>
        <w:numPr>
          <w:ilvl w:val="0"/>
          <w:numId w:val="1003"/>
        </w:numPr>
      </w:pPr>
      <w:r>
        <w:rPr>
          <w:b/>
          <w:bCs/>
        </w:rPr>
        <w:t xml:space="preserve">How much is needed to recover inflation rather than expand margins?</w:t>
      </w:r>
    </w:p>
    <w:p>
      <w:pPr>
        <w:pStyle w:val="Compact"/>
        <w:numPr>
          <w:ilvl w:val="0"/>
          <w:numId w:val="1003"/>
        </w:numPr>
      </w:pPr>
      <w:r>
        <w:rPr>
          <w:b/>
          <w:bCs/>
        </w:rPr>
        <w:t xml:space="preserve">Does the increase improve confidence in the approximately $5 billion 2027 EBITDA ambition?</w:t>
      </w:r>
    </w:p>
    <w:p>
      <w:pPr>
        <w:pStyle w:val="FirstParagraph"/>
      </w:pPr>
      <w:r>
        <w:t xml:space="preserve">Management had previously said its 2027 framework included only pricing already published through April. If the new increase is implemented and largely incremental to that framework, it could create meaningful upside. Investors should nevertheless avoid capitalizing the full announced amount before publication and customer realization.</w:t>
      </w:r>
    </w:p>
    <w:p>
      <w:pPr>
        <w:pStyle w:val="BodyText"/>
      </w:pPr>
      <w:r>
        <w:t xml:space="preserve">The industry read-through is favorable. Both Packaging Corp. of America and Smurfit WestRock recently described North American paper markets as tight, with strong order books and limited commercial downtime. The supply-demand setup appears materially better than it did on IP’s April call.</w:t>
      </w:r>
    </w:p>
    <w:p>
      <w:r>
        <w:pict>
          <v:rect style="width:0;height:1.5pt" o:hralign="center" o:hrstd="t" o:hr="t"/>
        </w:pict>
      </w:r>
    </w:p>
    <w:bookmarkEnd w:id="14"/>
    <w:bookmarkStart w:id="17" w:name="Xa51f34334a5e3b87caad875679921b3387af0ea"/>
    <w:p>
      <w:pPr>
        <w:pStyle w:val="Heading2"/>
      </w:pPr>
      <w:r>
        <w:t xml:space="preserve">3. EMEA: Q2 should mark peak margin compression</w:t>
      </w:r>
    </w:p>
    <w:p>
      <w:pPr>
        <w:pStyle w:val="FirstParagraph"/>
      </w:pPr>
      <w:r>
        <w:t xml:space="preserve">Management guided EMEA EBITDA to</w:t>
      </w:r>
      <w:r>
        <w:t xml:space="preserve"> </w:t>
      </w:r>
      <m:oMath>
        <m:r>
          <m:t>150</m:t>
        </m:r>
        <m:r>
          <m:t>m</m:t>
        </m:r>
        <m:r>
          <m:t>i</m:t>
        </m:r>
        <m:r>
          <m:t>l</m:t>
        </m:r>
        <m:r>
          <m:t>l</m:t>
        </m:r>
        <m:r>
          <m:t>i</m:t>
        </m:r>
        <m:r>
          <m:t>o</m:t>
        </m:r>
        <m:r>
          <m:t>n</m:t>
        </m:r>
        <m:r>
          <m:rPr>
            <m:sty m:val="p"/>
          </m:rPr>
          <m:t>–</m:t>
        </m:r>
      </m:oMath>
      <w:r>
        <w:rPr>
          <w:b/>
          <w:bCs/>
        </w:rPr>
        <w:t xml:space="preserve">170 million</w:t>
      </w:r>
      <w:r>
        <w:t xml:space="preserve">, down from $208 million in Q1.</w:t>
      </w:r>
    </w:p>
    <w:p>
      <w:pPr>
        <w:pStyle w:val="BodyText"/>
      </w:pPr>
      <w:r>
        <w:t xml:space="preserve">The primary issue is timing. Higher paper and energy costs hit immediately, while corresponding box-price increases generally take three to six months to reach customer contracts. IP therefore expected Q2 to represent the deepest point of the “cost-volume squeeze,” followed by progressive margin recovery in the second half.</w:t>
      </w:r>
    </w:p>
    <w:bookmarkStart w:id="15" w:name="expected-q2-pressures"/>
    <w:p>
      <w:pPr>
        <w:pStyle w:val="Heading3"/>
      </w:pPr>
      <w:r>
        <w:t xml:space="preserve">Expected Q2 pressures</w:t>
      </w:r>
    </w:p>
    <w:p>
      <w:pPr>
        <w:pStyle w:val="Compact"/>
        <w:numPr>
          <w:ilvl w:val="0"/>
          <w:numId w:val="1004"/>
        </w:numPr>
      </w:pPr>
      <w:r>
        <w:t xml:space="preserve">Higher OCC and energy costs.</w:t>
      </w:r>
    </w:p>
    <w:p>
      <w:pPr>
        <w:pStyle w:val="Compact"/>
        <w:numPr>
          <w:ilvl w:val="0"/>
          <w:numId w:val="1004"/>
        </w:numPr>
      </w:pPr>
      <w:r>
        <w:t xml:space="preserve">Rising distribution expense.</w:t>
      </w:r>
    </w:p>
    <w:p>
      <w:pPr>
        <w:pStyle w:val="Compact"/>
        <w:numPr>
          <w:ilvl w:val="0"/>
          <w:numId w:val="1004"/>
        </w:numPr>
      </w:pPr>
      <w:r>
        <w:t xml:space="preserve">Reduced energy subsidies.</w:t>
      </w:r>
    </w:p>
    <w:p>
      <w:pPr>
        <w:pStyle w:val="Compact"/>
        <w:numPr>
          <w:ilvl w:val="0"/>
          <w:numId w:val="1004"/>
        </w:numPr>
      </w:pPr>
      <w:r>
        <w:t xml:space="preserve">Higher paper costs ahead of box-price realization.</w:t>
      </w:r>
    </w:p>
    <w:p>
      <w:pPr>
        <w:pStyle w:val="Compact"/>
        <w:numPr>
          <w:ilvl w:val="0"/>
          <w:numId w:val="1004"/>
        </w:numPr>
      </w:pPr>
      <w:r>
        <w:t xml:space="preserve">A still-cautious European consumer.</w:t>
      </w:r>
    </w:p>
    <w:p>
      <w:pPr>
        <w:pStyle w:val="Compact"/>
        <w:numPr>
          <w:ilvl w:val="0"/>
          <w:numId w:val="1004"/>
        </w:numPr>
      </w:pPr>
      <w:r>
        <w:t xml:space="preserve">Some deliberate volume restraint as IP prioritized price over lower-quality business.</w:t>
      </w:r>
    </w:p>
    <w:bookmarkEnd w:id="15"/>
    <w:bookmarkStart w:id="16" w:name="potential-offsets"/>
    <w:p>
      <w:pPr>
        <w:pStyle w:val="Heading3"/>
      </w:pPr>
      <w:r>
        <w:t xml:space="preserve">Potential offsets</w:t>
      </w:r>
    </w:p>
    <w:p>
      <w:pPr>
        <w:pStyle w:val="Compact"/>
        <w:numPr>
          <w:ilvl w:val="0"/>
          <w:numId w:val="1005"/>
        </w:numPr>
      </w:pPr>
      <w:r>
        <w:t xml:space="preserve">Sequential volume recovery from a soft January.</w:t>
      </w:r>
    </w:p>
    <w:p>
      <w:pPr>
        <w:pStyle w:val="Compact"/>
        <w:numPr>
          <w:ilvl w:val="0"/>
          <w:numId w:val="1005"/>
        </w:numPr>
      </w:pPr>
      <w:r>
        <w:t xml:space="preserve">Continued momentum seen in March and April.</w:t>
      </w:r>
    </w:p>
    <w:p>
      <w:pPr>
        <w:pStyle w:val="Compact"/>
        <w:numPr>
          <w:ilvl w:val="0"/>
          <w:numId w:val="1005"/>
        </w:numPr>
      </w:pPr>
      <w:r>
        <w:t xml:space="preserve">Customer wins secured during 2025.</w:t>
      </w:r>
    </w:p>
    <w:p>
      <w:pPr>
        <w:pStyle w:val="Compact"/>
        <w:numPr>
          <w:ilvl w:val="0"/>
          <w:numId w:val="1005"/>
        </w:numPr>
      </w:pPr>
      <w:r>
        <w:t xml:space="preserve">Footprint and overhead savings.</w:t>
      </w:r>
    </w:p>
    <w:p>
      <w:pPr>
        <w:pStyle w:val="Compact"/>
        <w:numPr>
          <w:ilvl w:val="0"/>
          <w:numId w:val="1005"/>
        </w:numPr>
      </w:pPr>
      <w:r>
        <w:t xml:space="preserve">Energy hedges that reduce near-term volatility.</w:t>
      </w:r>
    </w:p>
    <w:p>
      <w:pPr>
        <w:pStyle w:val="FirstParagraph"/>
      </w:pPr>
      <w:r>
        <w:t xml:space="preserve">Peer commentary is constructive on demand but confirms the cost squeeze. Smurfit WestRock reported 1.5% same-day EMEA corrugated growth in Q2 and described its European mill system as fully booked. At the same time, it cited substantial freight and energy inflation and the same lag between paper prices and box-price recovery.</w:t>
      </w:r>
    </w:p>
    <w:p>
      <w:pPr>
        <w:pStyle w:val="BodyText"/>
      </w:pPr>
      <w:r>
        <w:t xml:space="preserve">For IP, the most important EMEA indicators will be:</w:t>
      </w:r>
    </w:p>
    <w:p>
      <w:pPr>
        <w:pStyle w:val="Compact"/>
        <w:numPr>
          <w:ilvl w:val="0"/>
          <w:numId w:val="1006"/>
        </w:numPr>
      </w:pPr>
      <w:r>
        <w:t xml:space="preserve">Whether volumes improved as expected.</w:t>
      </w:r>
    </w:p>
    <w:p>
      <w:pPr>
        <w:pStyle w:val="Compact"/>
        <w:numPr>
          <w:ilvl w:val="0"/>
          <w:numId w:val="1006"/>
        </w:numPr>
      </w:pPr>
      <w:r>
        <w:t xml:space="preserve">Whether box-price realization has begun.</w:t>
      </w:r>
    </w:p>
    <w:p>
      <w:pPr>
        <w:pStyle w:val="Compact"/>
        <w:numPr>
          <w:ilvl w:val="0"/>
          <w:numId w:val="1006"/>
        </w:numPr>
      </w:pPr>
      <w:r>
        <w:t xml:space="preserve">Whether the company still expects</w:t>
      </w:r>
      <w:r>
        <w:t xml:space="preserve"> </w:t>
      </w:r>
      <m:oMath>
        <m:r>
          <m:t>540</m:t>
        </m:r>
        <m:r>
          <m:t>m</m:t>
        </m:r>
        <m:r>
          <m:t>i</m:t>
        </m:r>
        <m:r>
          <m:t>l</m:t>
        </m:r>
        <m:r>
          <m:t>l</m:t>
        </m:r>
        <m:r>
          <m:t>i</m:t>
        </m:r>
        <m:r>
          <m:t>o</m:t>
        </m:r>
        <m:r>
          <m:t>n</m:t>
        </m:r>
        <m:r>
          <m:rPr>
            <m:sty m:val="p"/>
          </m:rPr>
          <m:t>–</m:t>
        </m:r>
      </m:oMath>
      <w:r>
        <w:rPr>
          <w:b/>
          <w:bCs/>
        </w:rPr>
        <w:t xml:space="preserve">620 million of EMEA EBITDA in the second half</w:t>
      </w:r>
      <w:r>
        <w:t xml:space="preserve">.</w:t>
      </w:r>
    </w:p>
    <w:p>
      <w:pPr>
        <w:pStyle w:val="Compact"/>
        <w:numPr>
          <w:ilvl w:val="0"/>
          <w:numId w:val="1006"/>
        </w:numPr>
      </w:pPr>
      <w:r>
        <w:t xml:space="preserve">Whether the assumed second-half energy-cost improvement remains reasonable.</w:t>
      </w:r>
    </w:p>
    <w:p>
      <w:pPr>
        <w:pStyle w:val="Compact"/>
        <w:numPr>
          <w:ilvl w:val="0"/>
          <w:numId w:val="1006"/>
        </w:numPr>
      </w:pPr>
      <w:r>
        <w:t xml:space="preserve">Progress toward the more than $200 million of announced run-rate savings.</w:t>
      </w:r>
    </w:p>
    <w:p>
      <w:r>
        <w:pict>
          <v:rect style="width:0;height:1.5pt" o:hralign="center" o:hrstd="t" o:hr="t"/>
        </w:pict>
      </w:r>
    </w:p>
    <w:bookmarkEnd w:id="16"/>
    <w:bookmarkEnd w:id="17"/>
    <w:bookmarkStart w:id="18" w:name="X5ed864aac0dbf223b4bc553aac32165f8b4e7e8"/>
    <w:p>
      <w:pPr>
        <w:pStyle w:val="Heading2"/>
      </w:pPr>
      <w:r>
        <w:t xml:space="preserve">4. The second-half bridge is the central controversy</w:t>
      </w:r>
    </w:p>
    <w:p>
      <w:pPr>
        <w:pStyle w:val="FirstParagraph"/>
      </w:pPr>
      <w:r>
        <w:t xml:space="preserve">Management’s North American outlook assumes an approximately</w:t>
      </w:r>
      <w:r>
        <w:t xml:space="preserve"> </w:t>
      </w:r>
      <w:r>
        <w:rPr>
          <w:b/>
          <w:bCs/>
        </w:rPr>
        <w:t xml:space="preserve">$650 million EBITDA improvement from the first half to the second half</w:t>
      </w:r>
      <w:r>
        <w:t xml:space="preserve">, supported by:</w:t>
      </w:r>
    </w:p>
    <w:p>
      <w:pPr>
        <w:pStyle w:val="Compact"/>
        <w:numPr>
          <w:ilvl w:val="0"/>
          <w:numId w:val="1007"/>
        </w:numPr>
      </w:pPr>
      <w:r>
        <w:rPr>
          <w:b/>
          <w:bCs/>
        </w:rPr>
        <w:t xml:space="preserve">Approximately $300 million</w:t>
      </w:r>
      <w:r>
        <w:t xml:space="preserve"> </w:t>
      </w:r>
      <w:r>
        <w:t xml:space="preserve">from pricing, volume, mix and seasonality.</w:t>
      </w:r>
    </w:p>
    <w:p>
      <w:pPr>
        <w:pStyle w:val="Compact"/>
        <w:numPr>
          <w:ilvl w:val="0"/>
          <w:numId w:val="1007"/>
        </w:numPr>
      </w:pPr>
      <w:r>
        <w:rPr>
          <w:b/>
          <w:bCs/>
        </w:rPr>
        <w:t xml:space="preserve">Approximately $150 million</w:t>
      </w:r>
      <w:r>
        <w:t xml:space="preserve"> </w:t>
      </w:r>
      <w:r>
        <w:t xml:space="preserve">from 80/20 cost reductions.</w:t>
      </w:r>
    </w:p>
    <w:p>
      <w:pPr>
        <w:pStyle w:val="Compact"/>
        <w:numPr>
          <w:ilvl w:val="0"/>
          <w:numId w:val="1007"/>
        </w:numPr>
      </w:pPr>
      <w:r>
        <w:rPr>
          <w:b/>
          <w:bCs/>
        </w:rPr>
        <w:t xml:space="preserve">Approximately $150 million</w:t>
      </w:r>
      <w:r>
        <w:t xml:space="preserve"> </w:t>
      </w:r>
      <w:r>
        <w:t xml:space="preserve">from lower planned maintenance spending.</w:t>
      </w:r>
    </w:p>
    <w:p>
      <w:pPr>
        <w:pStyle w:val="Compact"/>
        <w:numPr>
          <w:ilvl w:val="0"/>
          <w:numId w:val="1007"/>
        </w:numPr>
      </w:pPr>
      <w:r>
        <w:rPr>
          <w:b/>
          <w:bCs/>
        </w:rPr>
        <w:t xml:space="preserve">Approximately $100 million</w:t>
      </w:r>
      <w:r>
        <w:t xml:space="preserve"> </w:t>
      </w:r>
      <w:r>
        <w:t xml:space="preserve">from the nonrecurrence of Riverdale conversion and annual-outage costs.</w:t>
      </w:r>
    </w:p>
    <w:p>
      <w:pPr>
        <w:pStyle w:val="Compact"/>
        <w:numPr>
          <w:ilvl w:val="0"/>
          <w:numId w:val="1007"/>
        </w:numPr>
      </w:pPr>
      <w:r>
        <w:t xml:space="preserve">Partially offset by roughly</w:t>
      </w:r>
      <w:r>
        <w:t xml:space="preserve"> </w:t>
      </w:r>
      <w:r>
        <w:rPr>
          <w:b/>
          <w:bCs/>
        </w:rPr>
        <w:t xml:space="preserve">$50 million</w:t>
      </w:r>
      <w:r>
        <w:t xml:space="preserve"> </w:t>
      </w:r>
      <w:r>
        <w:t xml:space="preserve">of continued macro pressure.</w:t>
      </w:r>
    </w:p>
    <w:p>
      <w:pPr>
        <w:pStyle w:val="FirstParagraph"/>
      </w:pPr>
      <w:r>
        <w:t xml:space="preserve">The outage timing and nonrecurrence of Riverdale spending are relatively visible. Pricing is becoming more favorable as prior increases reach contracts. The most debatable component remains the</w:t>
      </w:r>
      <w:r>
        <w:t xml:space="preserve"> </w:t>
      </w:r>
      <w:r>
        <w:rPr>
          <w:b/>
          <w:bCs/>
        </w:rPr>
        <w:t xml:space="preserve">$150 million cost-out contribution</w:t>
      </w:r>
      <w:r>
        <w:t xml:space="preserve">, including footprint actions, procurement, supply-chain efficiency, mill utilization and freight optimization.</w:t>
      </w:r>
    </w:p>
    <w:p>
      <w:pPr>
        <w:pStyle w:val="BodyText"/>
      </w:pPr>
      <w:r>
        <w:t xml:space="preserve">For EMEA, the second-half improvement assumes:</w:t>
      </w:r>
    </w:p>
    <w:p>
      <w:pPr>
        <w:pStyle w:val="Compact"/>
        <w:numPr>
          <w:ilvl w:val="0"/>
          <w:numId w:val="1008"/>
        </w:numPr>
      </w:pPr>
      <w:r>
        <w:t xml:space="preserve">Approximately $110 million from margin recovery and commercial volume.</w:t>
      </w:r>
    </w:p>
    <w:p>
      <w:pPr>
        <w:pStyle w:val="Compact"/>
        <w:numPr>
          <w:ilvl w:val="0"/>
          <w:numId w:val="1008"/>
        </w:numPr>
      </w:pPr>
      <w:r>
        <w:t xml:space="preserve">Approximately $40 million from cost reductions.</w:t>
      </w:r>
    </w:p>
    <w:p>
      <w:pPr>
        <w:pStyle w:val="Compact"/>
        <w:numPr>
          <w:ilvl w:val="0"/>
          <w:numId w:val="1008"/>
        </w:numPr>
      </w:pPr>
      <w:r>
        <w:t xml:space="preserve">Approximately $50 million from energy-price improvement.</w:t>
      </w:r>
    </w:p>
    <w:p>
      <w:pPr>
        <w:pStyle w:val="FirstParagraph"/>
      </w:pPr>
      <w:r>
        <w:t xml:space="preserve">The report will be judged heavily on whether management reaffirms these bridges without introducing another layer of offsetting costs.</w:t>
      </w:r>
    </w:p>
    <w:p>
      <w:r>
        <w:pict>
          <v:rect style="width:0;height:1.5pt" o:hralign="center" o:hrstd="t" o:hr="t"/>
        </w:pict>
      </w:r>
    </w:p>
    <w:bookmarkEnd w:id="18"/>
    <w:bookmarkStart w:id="19" w:name="X7e2399b7e2239e8cb090af0b88cc2492bb54377"/>
    <w:p>
      <w:pPr>
        <w:pStyle w:val="Heading2"/>
      </w:pPr>
      <w:r>
        <w:t xml:space="preserve">5. Cash flow and balance-sheet quality</w:t>
      </w:r>
    </w:p>
    <w:p>
      <w:pPr>
        <w:pStyle w:val="FirstParagraph"/>
      </w:pPr>
      <w:r>
        <w:t xml:space="preserve">Full-year free cash flow guidance remains only</w:t>
      </w:r>
      <w:r>
        <w:t xml:space="preserve"> </w:t>
      </w:r>
      <m:oMath>
        <m:r>
          <m:t>300</m:t>
        </m:r>
        <m:r>
          <m:t>m</m:t>
        </m:r>
        <m:r>
          <m:t>i</m:t>
        </m:r>
        <m:r>
          <m:t>l</m:t>
        </m:r>
        <m:r>
          <m:t>l</m:t>
        </m:r>
        <m:r>
          <m:t>i</m:t>
        </m:r>
        <m:r>
          <m:t>o</m:t>
        </m:r>
        <m:r>
          <m:t>n</m:t>
        </m:r>
        <m:r>
          <m:rPr>
            <m:sty m:val="p"/>
          </m:rPr>
          <m:t>–</m:t>
        </m:r>
      </m:oMath>
      <w:r>
        <w:rPr>
          <w:b/>
          <w:bCs/>
        </w:rPr>
        <w:t xml:space="preserve">500 million</w:t>
      </w:r>
      <w:r>
        <w:t xml:space="preserve">, despite the</w:t>
      </w:r>
      <w:r>
        <w:t xml:space="preserve"> </w:t>
      </w:r>
      <m:oMath>
        <m:r>
          <m:t>3.20</m:t>
        </m:r>
        <m:r>
          <m:t>b</m:t>
        </m:r>
        <m:r>
          <m:t>i</m:t>
        </m:r>
        <m:r>
          <m:t>l</m:t>
        </m:r>
        <m:r>
          <m:t>l</m:t>
        </m:r>
        <m:r>
          <m:t>i</m:t>
        </m:r>
        <m:r>
          <m:t>o</m:t>
        </m:r>
        <m:r>
          <m:t>n</m:t>
        </m:r>
        <m:r>
          <m:rPr>
            <m:sty m:val="p"/>
          </m:rPr>
          <m:t>–</m:t>
        </m:r>
      </m:oMath>
      <w:r>
        <w:t xml:space="preserve">3.50 billion EBITDA target. That reflects elevated investment spending, restructuring, working-capital needs and the earnings lag from pricing.</w:t>
      </w:r>
    </w:p>
    <w:p>
      <w:pPr>
        <w:pStyle w:val="BodyText"/>
      </w:pPr>
      <w:r>
        <w:t xml:space="preserve">Several points deserve attention:</w:t>
      </w:r>
    </w:p>
    <w:p>
      <w:pPr>
        <w:pStyle w:val="Compact"/>
        <w:numPr>
          <w:ilvl w:val="0"/>
          <w:numId w:val="1009"/>
        </w:numPr>
      </w:pPr>
      <w:r>
        <w:t xml:space="preserve">Q1 free cash flow of $94 million included a one-time tax refund of approximately $280 million.</w:t>
      </w:r>
    </w:p>
    <w:p>
      <w:pPr>
        <w:pStyle w:val="Compact"/>
        <w:numPr>
          <w:ilvl w:val="0"/>
          <w:numId w:val="1009"/>
        </w:numPr>
      </w:pPr>
      <w:r>
        <w:t xml:space="preserve">Full-year capital expenditure guidance was</w:t>
      </w:r>
      <w:r>
        <w:t xml:space="preserve"> </w:t>
      </w:r>
      <m:oMath>
        <m:r>
          <m:t>2.0</m:t>
        </m:r>
        <m:r>
          <m:t>b</m:t>
        </m:r>
        <m:r>
          <m:t>i</m:t>
        </m:r>
        <m:r>
          <m:t>l</m:t>
        </m:r>
        <m:r>
          <m:t>l</m:t>
        </m:r>
        <m:r>
          <m:t>i</m:t>
        </m:r>
        <m:r>
          <m:t>o</m:t>
        </m:r>
        <m:r>
          <m:t>n</m:t>
        </m:r>
        <m:r>
          <m:rPr>
            <m:sty m:val="p"/>
          </m:rPr>
          <m:t>–</m:t>
        </m:r>
      </m:oMath>
      <w:r>
        <w:rPr>
          <w:b/>
          <w:bCs/>
        </w:rPr>
        <w:t xml:space="preserve">2.1 billion</w:t>
      </w:r>
      <w:r>
        <w:t xml:space="preserve">.</w:t>
      </w:r>
    </w:p>
    <w:p>
      <w:pPr>
        <w:pStyle w:val="Compact"/>
        <w:numPr>
          <w:ilvl w:val="0"/>
          <w:numId w:val="1009"/>
        </w:numPr>
      </w:pPr>
      <w:r>
        <w:t xml:space="preserve">IP paid down $660 million of debt after receiving $1.1 billion from the Global Cellulose Fibers sale.</w:t>
      </w:r>
    </w:p>
    <w:p>
      <w:pPr>
        <w:pStyle w:val="Compact"/>
        <w:numPr>
          <w:ilvl w:val="0"/>
          <w:numId w:val="1009"/>
        </w:numPr>
      </w:pPr>
      <w:r>
        <w:t xml:space="preserve">Debt totaled approximately $9.1 billion at March 31, with $1.24 billion of cash and temporary investments.</w:t>
      </w:r>
    </w:p>
    <w:p>
      <w:pPr>
        <w:pStyle w:val="Compact"/>
        <w:numPr>
          <w:ilvl w:val="0"/>
          <w:numId w:val="1009"/>
        </w:numPr>
      </w:pPr>
      <w:r>
        <w:t xml:space="preserve">Moody’s had a negative outlook on its Baa2 rating, making cash conversion and leverage particularly relevant ahead of the EMEA separation.</w:t>
      </w:r>
    </w:p>
    <w:p>
      <w:pPr>
        <w:pStyle w:val="Compact"/>
        <w:numPr>
          <w:ilvl w:val="0"/>
          <w:numId w:val="1009"/>
        </w:numPr>
      </w:pPr>
      <w:r>
        <w:t xml:space="preserve">The pending $360 million NORPAC acquisition and $225 million Mississippi packaging facility add to near-term capital demands.</w:t>
      </w:r>
    </w:p>
    <w:p>
      <w:pPr>
        <w:pStyle w:val="FirstParagraph"/>
      </w:pPr>
      <w:r>
        <w:t xml:space="preserve">Investors should look for an update on full-year free cash flow, working capital, capital expenditures and financing for NORPAC. A reduced EBITDA outlook combined with unchanged capital spending would put additional scrutiny on cash generation and the dividend.</w:t>
      </w:r>
    </w:p>
    <w:p>
      <w:r>
        <w:pict>
          <v:rect style="width:0;height:1.5pt" o:hralign="center" o:hrstd="t" o:hr="t"/>
        </w:pict>
      </w:r>
    </w:p>
    <w:bookmarkEnd w:id="19"/>
    <w:bookmarkStart w:id="20" w:name="X9331a8371f9ea918aa5565cf4707c50aa99c970"/>
    <w:p>
      <w:pPr>
        <w:pStyle w:val="Heading2"/>
      </w:pPr>
      <w:r>
        <w:t xml:space="preserve">6. EMEA separation: Increasingly important as 2027 approaches</w:t>
      </w:r>
    </w:p>
    <w:p>
      <w:pPr>
        <w:pStyle w:val="FirstParagraph"/>
      </w:pPr>
      <w:r>
        <w:t xml:space="preserve">IP intends to separate its North American and EMEA packaging operations into two public companies, with completion targeted for</w:t>
      </w:r>
      <w:r>
        <w:t xml:space="preserve"> </w:t>
      </w:r>
      <w:r>
        <w:rPr>
          <w:b/>
          <w:bCs/>
        </w:rPr>
        <w:t xml:space="preserve">12–15 months after the January 29, 2026 announcement</w:t>
      </w:r>
      <w:r>
        <w:t xml:space="preserve">—roughly January through April 2027.</w:t>
      </w:r>
    </w:p>
    <w:p>
      <w:pPr>
        <w:pStyle w:val="BodyText"/>
      </w:pPr>
      <w:r>
        <w:t xml:space="preserve">The current plan calls for:</w:t>
      </w:r>
    </w:p>
    <w:p>
      <w:pPr>
        <w:pStyle w:val="Compact"/>
        <w:numPr>
          <w:ilvl w:val="0"/>
          <w:numId w:val="1010"/>
        </w:numPr>
      </w:pPr>
      <w:r>
        <w:t xml:space="preserve">IP to retain approximately 20% of the EMEA company for 12–18 months.</w:t>
      </w:r>
    </w:p>
    <w:p>
      <w:pPr>
        <w:pStyle w:val="Compact"/>
        <w:numPr>
          <w:ilvl w:val="0"/>
          <w:numId w:val="1010"/>
        </w:numPr>
      </w:pPr>
      <w:r>
        <w:t xml:space="preserve">The EMEA business to list in London and New York.</w:t>
      </w:r>
    </w:p>
    <w:p>
      <w:pPr>
        <w:pStyle w:val="Compact"/>
        <w:numPr>
          <w:ilvl w:val="0"/>
          <w:numId w:val="1010"/>
        </w:numPr>
      </w:pPr>
      <w:r>
        <w:t xml:space="preserve">Both businesses to maintain investment-grade credit ratings.</w:t>
      </w:r>
    </w:p>
    <w:p>
      <w:pPr>
        <w:pStyle w:val="FirstParagraph"/>
      </w:pPr>
      <w:r>
        <w:t xml:space="preserve">Useful incremental disclosure would include:</w:t>
      </w:r>
    </w:p>
    <w:p>
      <w:pPr>
        <w:pStyle w:val="Compact"/>
        <w:numPr>
          <w:ilvl w:val="0"/>
          <w:numId w:val="1011"/>
        </w:numPr>
      </w:pPr>
      <w:r>
        <w:t xml:space="preserve">The expected allocation of debt between the companies.</w:t>
      </w:r>
    </w:p>
    <w:p>
      <w:pPr>
        <w:pStyle w:val="Compact"/>
        <w:numPr>
          <w:ilvl w:val="0"/>
          <w:numId w:val="1011"/>
        </w:numPr>
      </w:pPr>
      <w:r>
        <w:t xml:space="preserve">Separation and stranded-cost estimates.</w:t>
      </w:r>
    </w:p>
    <w:p>
      <w:pPr>
        <w:pStyle w:val="Compact"/>
        <w:numPr>
          <w:ilvl w:val="0"/>
          <w:numId w:val="1011"/>
        </w:numPr>
      </w:pPr>
      <w:r>
        <w:t xml:space="preserve">Standalone corporate-cost structures.</w:t>
      </w:r>
    </w:p>
    <w:p>
      <w:pPr>
        <w:pStyle w:val="Compact"/>
        <w:numPr>
          <w:ilvl w:val="0"/>
          <w:numId w:val="1011"/>
        </w:numPr>
      </w:pPr>
      <w:r>
        <w:t xml:space="preserve">EMEA leadership and board formation.</w:t>
      </w:r>
    </w:p>
    <w:p>
      <w:pPr>
        <w:pStyle w:val="Compact"/>
        <w:numPr>
          <w:ilvl w:val="0"/>
          <w:numId w:val="1011"/>
        </w:numPr>
      </w:pPr>
      <w:r>
        <w:t xml:space="preserve">Updated timing for regulatory filings.</w:t>
      </w:r>
    </w:p>
    <w:p>
      <w:pPr>
        <w:pStyle w:val="Compact"/>
        <w:numPr>
          <w:ilvl w:val="0"/>
          <w:numId w:val="1011"/>
        </w:numPr>
      </w:pPr>
      <w:r>
        <w:t xml:space="preserve">Whether macro and energy volatility have affected the transaction plan.</w:t>
      </w:r>
    </w:p>
    <w:p>
      <w:pPr>
        <w:pStyle w:val="FirstParagraph"/>
      </w:pPr>
      <w:r>
        <w:t xml:space="preserve">A clean separation could help investors value the businesses independently, but cost leakage or an unfavorable debt allocation could dilute the benefit.</w:t>
      </w:r>
    </w:p>
    <w:p>
      <w:r>
        <w:pict>
          <v:rect style="width:0;height:1.5pt" o:hralign="center" o:hrstd="t" o:hr="t"/>
        </w:pict>
      </w:r>
    </w:p>
    <w:bookmarkEnd w:id="20"/>
    <w:bookmarkStart w:id="24" w:name="scenario-framework"/>
    <w:p>
      <w:pPr>
        <w:pStyle w:val="Heading2"/>
      </w:pPr>
      <w:r>
        <w:t xml:space="preserve">Scenario framework</w:t>
      </w:r>
    </w:p>
    <w:bookmarkStart w:id="21" w:name="bull-case"/>
    <w:p>
      <w:pPr>
        <w:pStyle w:val="Heading3"/>
      </w:pPr>
      <w:r>
        <w:t xml:space="preserve">Bull case</w:t>
      </w:r>
    </w:p>
    <w:p>
      <w:pPr>
        <w:pStyle w:val="Compact"/>
        <w:numPr>
          <w:ilvl w:val="0"/>
          <w:numId w:val="1012"/>
        </w:numPr>
      </w:pPr>
      <w:r>
        <w:t xml:space="preserve">Q2 EBITDA lands near or above the top of the</w:t>
      </w:r>
      <w:r>
        <w:t xml:space="preserve"> </w:t>
      </w:r>
      <m:oMath>
        <m:r>
          <m:t>520</m:t>
        </m:r>
        <m:r>
          <m:t>m</m:t>
        </m:r>
        <m:r>
          <m:t>i</m:t>
        </m:r>
        <m:r>
          <m:t>l</m:t>
        </m:r>
        <m:r>
          <m:t>l</m:t>
        </m:r>
        <m:r>
          <m:t>i</m:t>
        </m:r>
        <m:r>
          <m:t>o</m:t>
        </m:r>
        <m:r>
          <m:t>n</m:t>
        </m:r>
        <m:r>
          <m:rPr>
            <m:sty m:val="p"/>
          </m:rPr>
          <m:t>–</m:t>
        </m:r>
      </m:oMath>
      <w:r>
        <w:t xml:space="preserve">570 million range.</w:t>
      </w:r>
    </w:p>
    <w:p>
      <w:pPr>
        <w:pStyle w:val="Compact"/>
        <w:numPr>
          <w:ilvl w:val="0"/>
          <w:numId w:val="1012"/>
        </w:numPr>
      </w:pPr>
      <w:r>
        <w:t xml:space="preserve">Full-year guidance is reaffirmed with increased confidence.</w:t>
      </w:r>
    </w:p>
    <w:p>
      <w:pPr>
        <w:pStyle w:val="Compact"/>
        <w:numPr>
          <w:ilvl w:val="0"/>
          <w:numId w:val="1012"/>
        </w:numPr>
      </w:pPr>
      <w:r>
        <w:t xml:space="preserve">North American box volumes rise approximately 3%.</w:t>
      </w:r>
    </w:p>
    <w:p>
      <w:pPr>
        <w:pStyle w:val="Compact"/>
        <w:numPr>
          <w:ilvl w:val="0"/>
          <w:numId w:val="1012"/>
        </w:numPr>
      </w:pPr>
      <w:r>
        <w:t xml:space="preserve">Riverdale is completed successfully and mill reliability improves.</w:t>
      </w:r>
    </w:p>
    <w:p>
      <w:pPr>
        <w:pStyle w:val="Compact"/>
        <w:numPr>
          <w:ilvl w:val="0"/>
          <w:numId w:val="1012"/>
        </w:numPr>
      </w:pPr>
      <w:r>
        <w:t xml:space="preserve">EMEA pricing begins catching up to paper and energy costs.</w:t>
      </w:r>
    </w:p>
    <w:p>
      <w:pPr>
        <w:pStyle w:val="Compact"/>
        <w:numPr>
          <w:ilvl w:val="0"/>
          <w:numId w:val="1012"/>
        </w:numPr>
      </w:pPr>
      <w:r>
        <w:t xml:space="preserve">The new $80 increase is not materially embedded in prior guidance, creating upside for late 2026 or 2027.</w:t>
      </w:r>
    </w:p>
    <w:bookmarkEnd w:id="21"/>
    <w:bookmarkStart w:id="22" w:name="base-case"/>
    <w:p>
      <w:pPr>
        <w:pStyle w:val="Heading3"/>
      </w:pPr>
      <w:r>
        <w:t xml:space="preserve">Base case</w:t>
      </w:r>
    </w:p>
    <w:p>
      <w:pPr>
        <w:pStyle w:val="Compact"/>
        <w:numPr>
          <w:ilvl w:val="0"/>
          <w:numId w:val="1013"/>
        </w:numPr>
      </w:pPr>
      <w:r>
        <w:t xml:space="preserve">Q2 EBITDA is near the midpoint.</w:t>
      </w:r>
    </w:p>
    <w:p>
      <w:pPr>
        <w:pStyle w:val="Compact"/>
        <w:numPr>
          <w:ilvl w:val="0"/>
          <w:numId w:val="1013"/>
        </w:numPr>
      </w:pPr>
      <w:r>
        <w:t xml:space="preserve">Management maintains full-year guidance but acknowledges higher freight and OCC.</w:t>
      </w:r>
    </w:p>
    <w:p>
      <w:pPr>
        <w:pStyle w:val="Compact"/>
        <w:numPr>
          <w:ilvl w:val="0"/>
          <w:numId w:val="1013"/>
        </w:numPr>
      </w:pPr>
      <w:r>
        <w:t xml:space="preserve">Riverdale and outages finish broadly on plan.</w:t>
      </w:r>
    </w:p>
    <w:p>
      <w:pPr>
        <w:pStyle w:val="Compact"/>
        <w:numPr>
          <w:ilvl w:val="0"/>
          <w:numId w:val="1013"/>
        </w:numPr>
      </w:pPr>
      <w:r>
        <w:t xml:space="preserve">Second-half recovery remains heavily dependent on pricing and cost-out.</w:t>
      </w:r>
    </w:p>
    <w:p>
      <w:pPr>
        <w:pStyle w:val="Compact"/>
        <w:numPr>
          <w:ilvl w:val="0"/>
          <w:numId w:val="1013"/>
        </w:numPr>
      </w:pPr>
      <w:r>
        <w:t xml:space="preserve">No meaningful guidance benefit is assigned to the latest price increase until it is published and realized.</w:t>
      </w:r>
    </w:p>
    <w:bookmarkEnd w:id="22"/>
    <w:bookmarkStart w:id="23" w:name="bear-case"/>
    <w:p>
      <w:pPr>
        <w:pStyle w:val="Heading3"/>
      </w:pPr>
      <w:r>
        <w:t xml:space="preserve">Bear case</w:t>
      </w:r>
    </w:p>
    <w:p>
      <w:pPr>
        <w:pStyle w:val="Compact"/>
        <w:numPr>
          <w:ilvl w:val="0"/>
          <w:numId w:val="1014"/>
        </w:numPr>
      </w:pPr>
      <w:r>
        <w:t xml:space="preserve">Q2 falls below the low end or full-year guidance is reduced again.</w:t>
      </w:r>
    </w:p>
    <w:p>
      <w:pPr>
        <w:pStyle w:val="Compact"/>
        <w:numPr>
          <w:ilvl w:val="0"/>
          <w:numId w:val="1014"/>
        </w:numPr>
      </w:pPr>
      <w:r>
        <w:t xml:space="preserve">Freight, OCC, chemicals and European energy overwhelm operating improvements.</w:t>
      </w:r>
    </w:p>
    <w:p>
      <w:pPr>
        <w:pStyle w:val="Compact"/>
        <w:numPr>
          <w:ilvl w:val="0"/>
          <w:numId w:val="1014"/>
        </w:numPr>
      </w:pPr>
      <w:r>
        <w:t xml:space="preserve">Riverdale ramps slowly or mill reliability remains inconsistent.</w:t>
      </w:r>
    </w:p>
    <w:p>
      <w:pPr>
        <w:pStyle w:val="Compact"/>
        <w:numPr>
          <w:ilvl w:val="0"/>
          <w:numId w:val="1014"/>
        </w:numPr>
      </w:pPr>
      <w:r>
        <w:t xml:space="preserve">North American share gains moderate.</w:t>
      </w:r>
    </w:p>
    <w:p>
      <w:pPr>
        <w:pStyle w:val="Compact"/>
        <w:numPr>
          <w:ilvl w:val="0"/>
          <w:numId w:val="1014"/>
        </w:numPr>
      </w:pPr>
      <w:r>
        <w:t xml:space="preserve">EMEA demand weakens or box-price recovery is delayed.</w:t>
      </w:r>
    </w:p>
    <w:p>
      <w:pPr>
        <w:pStyle w:val="Compact"/>
        <w:numPr>
          <w:ilvl w:val="0"/>
          <w:numId w:val="1014"/>
        </w:numPr>
      </w:pPr>
      <w:r>
        <w:t xml:space="preserve">Free cash flow guidance declines while capital expenditure remains elevated.</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rPr>
          <w:b/>
          <w:bCs/>
        </w:rPr>
        <w:t xml:space="preserve">The hurdle for Q2 itself is relatively low; the hurdle for management credibility is much higher.</w:t>
      </w:r>
      <w:r>
        <w:t xml:space="preserve"> </w:t>
      </w:r>
      <w:r>
        <w:t xml:space="preserve">A weak quarter within guidance can be forgiven because Q2 was designed as the earnings trough. What investors need is evidence that the outage schedule is behind the company, Riverdale is operating as planned, cost reductions are reaching the income statement and prior price increases are flowing into box contracts.</w:t>
      </w:r>
    </w:p>
    <w:p>
      <w:pPr>
        <w:pStyle w:val="BodyText"/>
      </w:pPr>
      <w:r>
        <w:t xml:space="preserve">The recent tightening in containerboard and the reported $80-per-ton increase improve IP’s forward earnings potential. But after the stock’s sharp rally, the best outcome would combine a solid Q2 with a more credible, less execution-dependent path to the</w:t>
      </w:r>
      <w:r>
        <w:t xml:space="preserve"> </w:t>
      </w:r>
      <m:oMath>
        <m:r>
          <m:t>3.20</m:t>
        </m:r>
        <m:r>
          <m:t>b</m:t>
        </m:r>
        <m:r>
          <m:t>i</m:t>
        </m:r>
        <m:r>
          <m:t>l</m:t>
        </m:r>
        <m:r>
          <m:t>l</m:t>
        </m:r>
        <m:r>
          <m:t>i</m:t>
        </m:r>
        <m:r>
          <m:t>o</m:t>
        </m:r>
        <m:r>
          <m:t>n</m:t>
        </m:r>
        <m:r>
          <m:rPr>
            <m:sty m:val="p"/>
          </m:rPr>
          <m:t>–</m:t>
        </m:r>
      </m:oMath>
      <w:r>
        <w:t xml:space="preserve">3.50 billion full-year target—and ultimately the company’s approximately $5 billion 2027 EBITDA objective.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2026-07-29T18:48:03Z</dcterms:created>
  <dcterms:modified xsi:type="dcterms:W3CDTF">2026-07-29T18:48:03Z</dcterms:modified>
</cp:coreProperties>
</file>

<file path=docProps/custom.xml><?xml version="1.0" encoding="utf-8"?>
<Properties xmlns="http://schemas.openxmlformats.org/officeDocument/2006/custom-properties" xmlns:vt="http://schemas.openxmlformats.org/officeDocument/2006/docPropsVTypes"/>
</file>