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8c537cc282551552a8c60b661b4991cffd74f"/>
    <w:p>
      <w:pPr>
        <w:pStyle w:val="Heading1"/>
      </w:pPr>
      <w:r>
        <w:t xml:space="preserve">International Paper (NYSE: IP) — 2Q26 Earnings Preview</w:t>
      </w:r>
    </w:p>
    <w:p>
      <w:pPr>
        <w:pStyle w:val="FirstParagraph"/>
      </w:pPr>
      <w:r>
        <w:rPr>
          <w:b/>
          <w:bCs/>
        </w:rPr>
        <w:t xml:space="preserve">Reports:</w:t>
      </w:r>
      <w:r>
        <w:t xml:space="preserve"> </w:t>
      </w:r>
      <w:r>
        <w:t xml:space="preserve">Thursday, July 30, 2026</w:t>
      </w:r>
      <w:r>
        <w:br/>
      </w:r>
      <w:r>
        <w:rPr>
          <w:b/>
          <w:bCs/>
        </w:rPr>
        <w:t xml:space="preserve">Event:</w:t>
      </w:r>
      <w:r>
        <w:t xml:space="preserve"> </w:t>
      </w:r>
      <w:r>
        <w:t xml:space="preserve">2026Q2 Earnings Call</w:t>
      </w:r>
    </w:p>
    <w:bookmarkStart w:id="9" w:name="X6c996b53400fd419ee7cdc155a96bb1dd42f2d6"/>
    <w:p>
      <w:pPr>
        <w:pStyle w:val="Heading2"/>
      </w:pPr>
      <w:r>
        <w:t xml:space="preserve">Investment framing: a deliberately weak quarter, but a high bar for the second-half bridge</w:t>
      </w:r>
    </w:p>
    <w:p>
      <w:pPr>
        <w:pStyle w:val="FirstParagraph"/>
      </w:pPr>
      <w:r>
        <w:t xml:space="preserve">International Paper enters 2Q26 with expectations already reset: management guided to</w:t>
      </w:r>
      <w:r>
        <w:t xml:space="preserve"> </w:t>
      </w:r>
      <m:oMath>
        <m:r>
          <m:t>520</m:t>
        </m:r>
        <m:r>
          <m:t>m</m:t>
        </m:r>
        <m:r>
          <m:t>i</m:t>
        </m:r>
        <m:r>
          <m:t>l</m:t>
        </m:r>
        <m:r>
          <m:t>l</m:t>
        </m:r>
        <m:r>
          <m:t>i</m:t>
        </m:r>
        <m:r>
          <m:t>o</m:t>
        </m:r>
        <m:r>
          <m:t>n</m:t>
        </m:r>
        <m:r>
          <m:rPr>
            <m:sty m:val="p"/>
          </m:rPr>
          <m:t>–</m:t>
        </m:r>
      </m:oMath>
      <w:r>
        <w:rPr>
          <w:b/>
          <w:bCs/>
        </w:rPr>
        <w:t xml:space="preserve">570 million of adjusted EBITDA</w:t>
      </w:r>
      <w:r>
        <w:t xml:space="preserve">, down from</w:t>
      </w:r>
      <w:r>
        <w:t xml:space="preserve"> </w:t>
      </w:r>
      <w:r>
        <w:rPr>
          <w:b/>
          <w:bCs/>
        </w:rPr>
        <w:t xml:space="preserve">$677 million in 1Q26</w:t>
      </w:r>
      <w:r>
        <w:t xml:space="preserve">. The expected decline is not primarily a demand surprise; it reflects known and largely self-inflicted timing items—most notably a heavy maintenance schedule and the Riverdale paper-machine conversion in North America—alongside continued EMEA margin compression from energy and paper-cost inflation that precedes box-price recovery.</w:t>
      </w:r>
    </w:p>
    <w:p>
      <w:pPr>
        <w:pStyle w:val="BodyText"/>
      </w:pPr>
      <w:r>
        <w:t xml:space="preserve">The core investor question is therefore less about whether IP hits a low 2Q number, and more about whether management can</w:t>
      </w:r>
      <w:r>
        <w:t xml:space="preserve"> </w:t>
      </w:r>
      <w:r>
        <w:rPr>
          <w:b/>
          <w:bCs/>
        </w:rPr>
        <w:t xml:space="preserve">validate the unusually large second-half earnings inflection</w:t>
      </w:r>
      <w:r>
        <w:t xml:space="preserve"> </w:t>
      </w:r>
      <w:r>
        <w:t xml:space="preserve">embedded in its full-year outlook. IP’s maintained 2026 adjusted EBITDA target of</w:t>
      </w:r>
      <w:r>
        <w:t xml:space="preserve"> </w:t>
      </w:r>
      <m:oMath>
        <m:r>
          <m:t>3.2</m:t>
        </m:r>
        <m:r>
          <m:t>b</m:t>
        </m:r>
        <m:r>
          <m:t>i</m:t>
        </m:r>
        <m:r>
          <m:t>l</m:t>
        </m:r>
        <m:r>
          <m:t>l</m:t>
        </m:r>
        <m:r>
          <m:t>i</m:t>
        </m:r>
        <m:r>
          <m:t>o</m:t>
        </m:r>
        <m:r>
          <m:t>n</m:t>
        </m:r>
        <m:r>
          <m:rPr>
            <m:sty m:val="p"/>
          </m:rPr>
          <m:t>–</m:t>
        </m:r>
      </m:oMath>
      <w:r>
        <w:rPr>
          <w:b/>
          <w:bCs/>
        </w:rPr>
        <w:t xml:space="preserve">3.5 billion</w:t>
      </w:r>
      <w:r>
        <w:t xml:space="preserve"> </w:t>
      </w:r>
      <w:r>
        <w:t xml:space="preserve">implies roughly</w:t>
      </w:r>
      <w:r>
        <w:t xml:space="preserve"> </w:t>
      </w:r>
      <m:oMath>
        <m:r>
          <m:t>2.0</m:t>
        </m:r>
        <m:r>
          <m:t>b</m:t>
        </m:r>
        <m:r>
          <m:t>i</m:t>
        </m:r>
        <m:r>
          <m:t>l</m:t>
        </m:r>
        <m:r>
          <m:t>l</m:t>
        </m:r>
        <m:r>
          <m:t>i</m:t>
        </m:r>
        <m:r>
          <m:t>o</m:t>
        </m:r>
        <m:r>
          <m:t>n</m:t>
        </m:r>
        <m:r>
          <m:rPr>
            <m:sty m:val="p"/>
          </m:rPr>
          <m:t>–</m:t>
        </m:r>
      </m:oMath>
      <w:r>
        <w:rPr>
          <w:b/>
          <w:bCs/>
        </w:rPr>
        <w:t xml:space="preserve">2.3 billion in 2H26 EBITDA</w:t>
      </w:r>
      <w:r>
        <w:t xml:space="preserve">, after accounting for 1Q actuals and 2Q guidance. That is a demanding ramp and will require execution on pricing, maintenance normalization, cost-out, reliability, mix, and volume gains.</w:t>
      </w:r>
    </w:p>
    <w:p>
      <w:pPr>
        <w:pStyle w:val="BodyText"/>
      </w:pPr>
      <w:r>
        <w:t xml:space="preserve">Recent containerboard pricing news increases the upside narrative. A reported</w:t>
      </w:r>
      <w:r>
        <w:t xml:space="preserve"> </w:t>
      </w:r>
      <w:r>
        <w:rPr>
          <w:b/>
          <w:bCs/>
        </w:rPr>
        <w:t xml:space="preserve">$80/ton IP containerboard price increase effective September 1</w:t>
      </w:r>
      <w:r>
        <w:t xml:space="preserve">—not formally confirmed by the company—suggests tight industry supply and provides potential support for late-2026 and 2027 earnings. But it should have</w:t>
      </w:r>
      <w:r>
        <w:t xml:space="preserve"> </w:t>
      </w:r>
      <w:r>
        <w:rPr>
          <w:b/>
          <w:bCs/>
        </w:rPr>
        <w:t xml:space="preserve">no material impact on reported 2Q results</w:t>
      </w:r>
      <w:r>
        <w:t xml:space="preserve">, and realization through customer contracts will lag the announced date.</w:t>
      </w:r>
    </w:p>
    <w:p>
      <w:r>
        <w:pict>
          <v:rect style="width:0;height:1.5pt" o:hralign="center" o:hrstd="t" o:hr="t"/>
        </w:pict>
      </w:r>
    </w:p>
    <w:bookmarkEnd w:id="9"/>
    <w:bookmarkStart w:id="12" w:name="what-management-guided-for-2q26"/>
    <w:p>
      <w:pPr>
        <w:pStyle w:val="Heading2"/>
      </w:pPr>
      <w:r>
        <w:t xml:space="preserve">What management guided for 2Q26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Adjusted EBITDA</w:t>
            </w:r>
          </w:p>
        </w:tc>
        <w:tc>
          <w:tcPr/>
          <w:p>
            <w:pPr>
              <w:pStyle w:val="Compact"/>
              <w:jc w:val="right"/>
            </w:pPr>
            <w:r>
              <w:t xml:space="preserve">1Q26 actual</w:t>
            </w:r>
          </w:p>
        </w:tc>
        <w:tc>
          <w:tcPr/>
          <w:p>
            <w:pPr>
              <w:pStyle w:val="Compact"/>
              <w:jc w:val="right"/>
            </w:pPr>
            <w:r>
              <w:t xml:space="preserve">2Q26 company outlook</w:t>
            </w:r>
          </w:p>
        </w:tc>
        <w:tc>
          <w:tcPr/>
          <w:p>
            <w:pPr>
              <w:pStyle w:val="Compact"/>
              <w:jc w:val="right"/>
            </w:pPr>
            <w:r>
              <w:t xml:space="preserve">Sequential change at midpoint</w:t>
            </w:r>
          </w:p>
        </w:tc>
      </w:tr>
      <w:tr>
        <w:tc>
          <w:tcPr/>
          <w:p>
            <w:pPr>
              <w:pStyle w:val="Compact"/>
            </w:pPr>
            <w:r>
              <w:t xml:space="preserve">Packaging Solutions North America</w:t>
            </w:r>
          </w:p>
        </w:tc>
        <w:tc>
          <w:tcPr/>
          <w:p>
            <w:pPr>
              <w:pStyle w:val="Compact"/>
              <w:jc w:val="right"/>
            </w:pPr>
            <w:r>
              <w:t xml:space="preserve">$477M</w:t>
            </w:r>
          </w:p>
        </w:tc>
        <w:tc>
          <w:tcPr/>
          <w:p>
            <w:pPr>
              <w:pStyle w:val="Compact"/>
              <w:jc w:val="right"/>
            </w:pPr>
            <m:oMath>
              <m:r>
                <m:t>380</m:t>
              </m:r>
              <m:r>
                <m:t>M</m:t>
              </m:r>
              <m:r>
                <m:rPr>
                  <m:sty m:val="p"/>
                </m:rPr>
                <m:t>–</m:t>
              </m:r>
            </m:oMath>
            <w:r>
              <w:t xml:space="preserve">410M</w:t>
            </w:r>
          </w:p>
        </w:tc>
        <w:tc>
          <w:tcPr/>
          <w:p>
            <w:pPr>
              <w:pStyle w:val="Compact"/>
              <w:jc w:val="right"/>
            </w:pPr>
            <w:r>
              <w:t xml:space="preserve">$(82)M</w:t>
            </w:r>
          </w:p>
        </w:tc>
      </w:tr>
      <w:tr>
        <w:tc>
          <w:tcPr/>
          <w:p>
            <w:pPr>
              <w:pStyle w:val="Compact"/>
            </w:pPr>
            <w:r>
              <w:t xml:space="preserve">Packaging Solutions EMEA</w:t>
            </w:r>
          </w:p>
        </w:tc>
        <w:tc>
          <w:tcPr/>
          <w:p>
            <w:pPr>
              <w:pStyle w:val="Compact"/>
              <w:jc w:val="right"/>
            </w:pPr>
            <w:r>
              <w:t xml:space="preserve">$208M</w:t>
            </w:r>
          </w:p>
        </w:tc>
        <w:tc>
          <w:tcPr/>
          <w:p>
            <w:pPr>
              <w:pStyle w:val="Compact"/>
              <w:jc w:val="right"/>
            </w:pPr>
            <m:oMath>
              <m:r>
                <m:t>150</m:t>
              </m:r>
              <m:r>
                <m:t>M</m:t>
              </m:r>
              <m:r>
                <m:rPr>
                  <m:sty m:val="p"/>
                </m:rPr>
                <m:t>–</m:t>
              </m:r>
            </m:oMath>
            <w:r>
              <w:t xml:space="preserve">170M</w:t>
            </w:r>
          </w:p>
        </w:tc>
        <w:tc>
          <w:tcPr/>
          <w:p>
            <w:pPr>
              <w:pStyle w:val="Compact"/>
              <w:jc w:val="right"/>
            </w:pPr>
            <w:r>
              <w:t xml:space="preserve">$(48)M</w:t>
            </w:r>
          </w:p>
        </w:tc>
      </w:tr>
      <w:tr>
        <w:tc>
          <w:tcPr/>
          <w:p>
            <w:pPr>
              <w:pStyle w:val="Compact"/>
            </w:pPr>
            <w:r>
              <w:t xml:space="preserve">Corporate / other</w:t>
            </w:r>
          </w:p>
        </w:tc>
        <w:tc>
          <w:tcPr/>
          <w:p>
            <w:pPr>
              <w:pStyle w:val="Compact"/>
              <w:jc w:val="right"/>
            </w:pPr>
            <w:r>
              <w:t xml:space="preserve">$(8)M implied</w:t>
            </w:r>
          </w:p>
        </w:tc>
        <w:tc>
          <w:tcPr/>
          <w:p>
            <w:pPr>
              <w:pStyle w:val="Compact"/>
              <w:jc w:val="right"/>
            </w:pPr>
            <m:oMath>
              <m:r>
                <m:rPr>
                  <m:sty m:val="p"/>
                </m:rPr>
                <m:t>(</m:t>
              </m:r>
              <m:r>
                <m:t>10</m:t>
              </m:r>
              <m:r>
                <m:rPr>
                  <m:sty m:val="p"/>
                </m:rPr>
                <m:t>)</m:t>
              </m:r>
              <m:r>
                <m:t>M</m:t>
              </m:r>
              <m:r>
                <m:rPr>
                  <m:sty m:val="p"/>
                </m:rPr>
                <m:t>–</m:t>
              </m:r>
            </m:oMath>
            <w:r>
              <w:t xml:space="preserve">(20)M implied</w:t>
            </w:r>
          </w:p>
        </w:tc>
        <w:tc>
          <w:tcPr/>
          <w:p>
            <w:pPr>
              <w:pStyle w:val="Compact"/>
              <w:jc w:val="right"/>
            </w:pPr>
            <w:r>
              <w:t xml:space="preserve">—</w:t>
            </w:r>
          </w:p>
        </w:tc>
      </w:tr>
      <w:tr>
        <w:tc>
          <w:tcPr/>
          <w:p>
            <w:pPr>
              <w:pStyle w:val="Compact"/>
            </w:pPr>
            <w:r>
              <w:rPr>
                <w:b/>
                <w:bCs/>
              </w:rPr>
              <w:t xml:space="preserve">International Paper total</w:t>
            </w:r>
          </w:p>
        </w:tc>
        <w:tc>
          <w:tcPr/>
          <w:p>
            <w:pPr>
              <w:pStyle w:val="Compact"/>
              <w:jc w:val="right"/>
            </w:pPr>
            <w:r>
              <w:rPr>
                <w:b/>
                <w:bCs/>
              </w:rPr>
              <w:t xml:space="preserve">$677M</w:t>
            </w:r>
          </w:p>
        </w:tc>
        <w:tc>
          <w:tcPr/>
          <w:p>
            <w:pPr>
              <w:pStyle w:val="Compact"/>
              <w:jc w:val="right"/>
            </w:pPr>
            <m:oMath>
              <m:r>
                <m:t>520</m:t>
              </m:r>
              <m:r>
                <m:t>M</m:t>
              </m:r>
              <m:r>
                <m:rPr>
                  <m:sty m:val="p"/>
                </m:rPr>
                <m:t>–</m:t>
              </m:r>
            </m:oMath>
            <w:r>
              <w:rPr>
                <w:b/>
                <w:bCs/>
              </w:rPr>
              <w:t xml:space="preserve">570M</w:t>
            </w:r>
          </w:p>
        </w:tc>
        <w:tc>
          <w:tcPr/>
          <w:p>
            <w:pPr>
              <w:pStyle w:val="Compact"/>
              <w:jc w:val="right"/>
            </w:pPr>
            <w:r>
              <w:rPr>
                <w:b/>
                <w:bCs/>
              </w:rPr>
              <w:t xml:space="preserve">$(132)M</w:t>
            </w:r>
          </w:p>
        </w:tc>
      </w:tr>
    </w:tbl>
    <w:bookmarkStart w:id="10" w:name="north-america-expected-2q-trough"/>
    <w:p>
      <w:pPr>
        <w:pStyle w:val="Heading3"/>
      </w:pPr>
      <w:r>
        <w:t xml:space="preserve">North America: expected 2Q trough</w:t>
      </w:r>
    </w:p>
    <w:p>
      <w:pPr>
        <w:pStyle w:val="FirstParagraph"/>
      </w:pPr>
      <w:r>
        <w:t xml:space="preserve">IP’s North American guidance calls for</w:t>
      </w:r>
      <w:r>
        <w:t xml:space="preserve"> </w:t>
      </w:r>
      <m:oMath>
        <m:r>
          <m:t>380</m:t>
        </m:r>
        <m:r>
          <m:t>m</m:t>
        </m:r>
        <m:r>
          <m:t>i</m:t>
        </m:r>
        <m:r>
          <m:t>l</m:t>
        </m:r>
        <m:r>
          <m:t>l</m:t>
        </m:r>
        <m:r>
          <m:t>i</m:t>
        </m:r>
        <m:r>
          <m:t>o</m:t>
        </m:r>
        <m:r>
          <m:t>n</m:t>
        </m:r>
        <m:r>
          <m:rPr>
            <m:sty m:val="p"/>
          </m:rPr>
          <m:t>–</m:t>
        </m:r>
      </m:oMath>
      <w:r>
        <w:rPr>
          <w:b/>
          <w:bCs/>
        </w:rPr>
        <w:t xml:space="preserve">410 million</w:t>
      </w:r>
      <w:r>
        <w:t xml:space="preserve"> </w:t>
      </w:r>
      <w:r>
        <w:t xml:space="preserve">of EBITDA. The major moving pieces are:</w:t>
      </w:r>
    </w:p>
    <w:p>
      <w:pPr>
        <w:pStyle w:val="Compact"/>
        <w:numPr>
          <w:ilvl w:val="0"/>
          <w:numId w:val="1001"/>
        </w:numPr>
      </w:pPr>
      <w:r>
        <w:rPr>
          <w:b/>
          <w:bCs/>
        </w:rPr>
        <w:t xml:space="preserve">Higher planned maintenance and outage expense</w:t>
      </w:r>
      <w:r>
        <w:t xml:space="preserve">, at roughly twice a normal quarterly run rate.</w:t>
      </w:r>
    </w:p>
    <w:p>
      <w:pPr>
        <w:pStyle w:val="Compact"/>
        <w:numPr>
          <w:ilvl w:val="0"/>
          <w:numId w:val="1001"/>
        </w:numPr>
      </w:pPr>
      <w:r>
        <w:rPr>
          <w:b/>
          <w:bCs/>
        </w:rPr>
        <w:t xml:space="preserve">Riverdale conversion and related machine work</w:t>
      </w:r>
      <w:r>
        <w:t xml:space="preserve">, which management expects to be completed by the end of 2Q.</w:t>
      </w:r>
    </w:p>
    <w:p>
      <w:pPr>
        <w:pStyle w:val="Compact"/>
        <w:numPr>
          <w:ilvl w:val="0"/>
          <w:numId w:val="1001"/>
        </w:numPr>
      </w:pPr>
      <w:r>
        <w:t xml:space="preserve">A seasonal increase in volumes, including</w:t>
      </w:r>
      <w:r>
        <w:t xml:space="preserve"> </w:t>
      </w:r>
      <w:r>
        <w:rPr>
          <w:b/>
          <w:bCs/>
        </w:rPr>
        <w:t xml:space="preserve">one additional shipping day</w:t>
      </w:r>
      <w:r>
        <w:t xml:space="preserve">.</w:t>
      </w:r>
    </w:p>
    <w:p>
      <w:pPr>
        <w:pStyle w:val="Compact"/>
        <w:numPr>
          <w:ilvl w:val="0"/>
          <w:numId w:val="1001"/>
        </w:numPr>
      </w:pPr>
      <w:r>
        <w:t xml:space="preserve">Better mix, partly offset by lagged effects of the earlier</w:t>
      </w:r>
      <w:r>
        <w:t xml:space="preserve"> </w:t>
      </w:r>
      <w:r>
        <w:rPr>
          <w:b/>
          <w:bCs/>
        </w:rPr>
        <w:t xml:space="preserve">$20/ton February price decrease</w:t>
      </w:r>
      <w:r>
        <w:t xml:space="preserve">.</w:t>
      </w:r>
    </w:p>
    <w:p>
      <w:pPr>
        <w:pStyle w:val="Compact"/>
        <w:numPr>
          <w:ilvl w:val="0"/>
          <w:numId w:val="1001"/>
        </w:numPr>
      </w:pPr>
      <w:r>
        <w:t xml:space="preserve">Lower seasonal energy costs, but higher freight and OCC costs linked to elevated diesel prices.</w:t>
      </w:r>
    </w:p>
    <w:p>
      <w:pPr>
        <w:pStyle w:val="FirstParagraph"/>
      </w:pPr>
      <w:r>
        <w:t xml:space="preserve">The market will likely tolerate a weak North American result if management demonstrates that the outage work is complete, Riverdale is on schedule, and the underlying mill system is operating more reliably into July.</w:t>
      </w:r>
    </w:p>
    <w:bookmarkEnd w:id="10"/>
    <w:bookmarkStart w:id="11" w:name="X7753d14665c4dedf0618bd4cefc5818e15f07f1"/>
    <w:p>
      <w:pPr>
        <w:pStyle w:val="Heading3"/>
      </w:pPr>
      <w:r>
        <w:t xml:space="preserve">EMEA: margin compression remains the near-term issue</w:t>
      </w:r>
    </w:p>
    <w:p>
      <w:pPr>
        <w:pStyle w:val="FirstParagraph"/>
      </w:pPr>
      <w:r>
        <w:t xml:space="preserve">IP guided Packaging Solutions EMEA EBITDA to</w:t>
      </w:r>
      <w:r>
        <w:t xml:space="preserve"> </w:t>
      </w:r>
      <m:oMath>
        <m:r>
          <m:t>150</m:t>
        </m:r>
        <m:r>
          <m:t>m</m:t>
        </m:r>
        <m:r>
          <m:t>i</m:t>
        </m:r>
        <m:r>
          <m:t>l</m:t>
        </m:r>
        <m:r>
          <m:t>l</m:t>
        </m:r>
        <m:r>
          <m:t>i</m:t>
        </m:r>
        <m:r>
          <m:t>o</m:t>
        </m:r>
        <m:r>
          <m:t>n</m:t>
        </m:r>
        <m:r>
          <m:rPr>
            <m:sty m:val="p"/>
          </m:rPr>
          <m:t>–</m:t>
        </m:r>
      </m:oMath>
      <w:r>
        <w:rPr>
          <w:b/>
          <w:bCs/>
        </w:rPr>
        <w:t xml:space="preserve">170 million</w:t>
      </w:r>
      <w:r>
        <w:t xml:space="preserve">. The segment faces an unfavorable pricing-cost timing dynamic: paper and energy costs move through quickly, while box pricing typically takes</w:t>
      </w:r>
      <w:r>
        <w:t xml:space="preserve"> </w:t>
      </w:r>
      <w:r>
        <w:rPr>
          <w:b/>
          <w:bCs/>
        </w:rPr>
        <w:t xml:space="preserve">three to six months</w:t>
      </w:r>
      <w:r>
        <w:t xml:space="preserve"> </w:t>
      </w:r>
      <w:r>
        <w:t xml:space="preserve">to recover. Management characterized 2Q as the period of</w:t>
      </w:r>
      <w:r>
        <w:t xml:space="preserve"> </w:t>
      </w:r>
      <w:r>
        <w:rPr>
          <w:b/>
          <w:bCs/>
        </w:rPr>
        <w:t xml:space="preserve">peak margin compression</w:t>
      </w:r>
      <w:r>
        <w:t xml:space="preserve">.</w:t>
      </w:r>
    </w:p>
    <w:p>
      <w:pPr>
        <w:pStyle w:val="BodyText"/>
      </w:pPr>
      <w:r>
        <w:t xml:space="preserve">The key positive is that IP expects recovery in the second half as packaging contracts reprice, customer wins contribute, cost actions flow through, and energy comparisons normalize. The risk is that weak European demand or continued energy/freight inflation delays that margin recovery.</w:t>
      </w:r>
    </w:p>
    <w:p>
      <w:r>
        <w:pict>
          <v:rect style="width:0;height:1.5pt" o:hralign="center" o:hrstd="t" o:hr="t"/>
        </w:pict>
      </w:r>
    </w:p>
    <w:bookmarkEnd w:id="11"/>
    <w:bookmarkEnd w:id="12"/>
    <w:bookmarkStart w:id="13" w:name="X4dd3471b4332974c7e36bb28170d0cb842a1815"/>
    <w:p>
      <w:pPr>
        <w:pStyle w:val="Heading2"/>
      </w:pPr>
      <w:r>
        <w:t xml:space="preserve">The second-half bridge is the real earnings event</w:t>
      </w:r>
    </w:p>
    <w:p>
      <w:pPr>
        <w:pStyle w:val="FirstParagraph"/>
      </w:pPr>
      <w:r>
        <w:t xml:space="preserve">IP’s full-year guide was unchanged at</w:t>
      </w:r>
      <w:r>
        <w:t xml:space="preserve"> </w:t>
      </w:r>
      <m:oMath>
        <m:r>
          <m:t>3.2</m:t>
        </m:r>
        <m:r>
          <m:t>b</m:t>
        </m:r>
        <m:r>
          <m:t>i</m:t>
        </m:r>
        <m:r>
          <m:t>l</m:t>
        </m:r>
        <m:r>
          <m:t>l</m:t>
        </m:r>
        <m:r>
          <m:t>i</m:t>
        </m:r>
        <m:r>
          <m:t>o</m:t>
        </m:r>
        <m:r>
          <m:t>n</m:t>
        </m:r>
        <m:r>
          <m:rPr>
            <m:sty m:val="p"/>
          </m:rPr>
          <m:t>–</m:t>
        </m:r>
      </m:oMath>
      <w:r>
        <w:rPr>
          <w:b/>
          <w:bCs/>
        </w:rPr>
        <w:t xml:space="preserve">3.5 billion</w:t>
      </w:r>
      <w:r>
        <w:t xml:space="preserve"> </w:t>
      </w:r>
      <w:r>
        <w:t xml:space="preserve">of adjusted EBITDA. Given 1Q actual EBITDA of $677 million and 2Q guidance of</w:t>
      </w:r>
      <w:r>
        <w:t xml:space="preserve"> </w:t>
      </w:r>
      <m:oMath>
        <m:r>
          <m:t>520</m:t>
        </m:r>
        <m:r>
          <m:t>m</m:t>
        </m:r>
        <m:r>
          <m:t>i</m:t>
        </m:r>
        <m:r>
          <m:t>l</m:t>
        </m:r>
        <m:r>
          <m:t>l</m:t>
        </m:r>
        <m:r>
          <m:t>i</m:t>
        </m:r>
        <m:r>
          <m:t>o</m:t>
        </m:r>
        <m:r>
          <m:t>n</m:t>
        </m:r>
        <m:r>
          <m:rPr>
            <m:sty m:val="p"/>
          </m:rPr>
          <m:t>–</m:t>
        </m:r>
      </m:oMath>
      <w:r>
        <w:t xml:space="preserve">570 million, the company effectively needs the following in the back half:</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Implied 2026 EBITDA bridge</w:t>
            </w:r>
          </w:p>
        </w:tc>
        <w:tc>
          <w:tcPr/>
          <w:p>
            <w:pPr>
              <w:pStyle w:val="Compact"/>
              <w:jc w:val="right"/>
            </w:pPr>
            <w:r>
              <w:t xml:space="preserve">Low end</w:t>
            </w:r>
          </w:p>
        </w:tc>
        <w:tc>
          <w:tcPr/>
          <w:p>
            <w:pPr>
              <w:pStyle w:val="Compact"/>
              <w:jc w:val="right"/>
            </w:pPr>
            <w:r>
              <w:t xml:space="preserve">High end</w:t>
            </w:r>
          </w:p>
        </w:tc>
      </w:tr>
      <w:tr>
        <w:tc>
          <w:tcPr/>
          <w:p>
            <w:pPr>
              <w:pStyle w:val="Compact"/>
            </w:pPr>
            <w:r>
              <w:t xml:space="preserve">Full-year adjusted EBITDA guide</w:t>
            </w:r>
          </w:p>
        </w:tc>
        <w:tc>
          <w:tcPr/>
          <w:p>
            <w:pPr>
              <w:pStyle w:val="Compact"/>
              <w:jc w:val="right"/>
            </w:pPr>
            <w:r>
              <w:t xml:space="preserve">$3.20B</w:t>
            </w:r>
          </w:p>
        </w:tc>
        <w:tc>
          <w:tcPr/>
          <w:p>
            <w:pPr>
              <w:pStyle w:val="Compact"/>
              <w:jc w:val="right"/>
            </w:pPr>
            <w:r>
              <w:t xml:space="preserve">$3.50B</w:t>
            </w:r>
          </w:p>
        </w:tc>
      </w:tr>
      <w:tr>
        <w:tc>
          <w:tcPr/>
          <w:p>
            <w:pPr>
              <w:pStyle w:val="Compact"/>
            </w:pPr>
            <w:r>
              <w:t xml:space="preserve">Less: 1Q26 actual</w:t>
            </w:r>
          </w:p>
        </w:tc>
        <w:tc>
          <w:tcPr/>
          <w:p>
            <w:pPr>
              <w:pStyle w:val="Compact"/>
              <w:jc w:val="right"/>
            </w:pPr>
            <w:r>
              <w:t xml:space="preserve">$(0.68)B</w:t>
            </w:r>
          </w:p>
        </w:tc>
        <w:tc>
          <w:tcPr/>
          <w:p>
            <w:pPr>
              <w:pStyle w:val="Compact"/>
              <w:jc w:val="right"/>
            </w:pPr>
            <w:r>
              <w:t xml:space="preserve">$(0.68)B</w:t>
            </w:r>
          </w:p>
        </w:tc>
      </w:tr>
      <w:tr>
        <w:tc>
          <w:tcPr/>
          <w:p>
            <w:pPr>
              <w:pStyle w:val="Compact"/>
            </w:pPr>
            <w:r>
              <w:t xml:space="preserve">Less: 2Q26 guide</w:t>
            </w:r>
          </w:p>
        </w:tc>
        <w:tc>
          <w:tcPr/>
          <w:p>
            <w:pPr>
              <w:pStyle w:val="Compact"/>
              <w:jc w:val="right"/>
            </w:pPr>
            <w:r>
              <w:t xml:space="preserve">$(0.57)B</w:t>
            </w:r>
          </w:p>
        </w:tc>
        <w:tc>
          <w:tcPr/>
          <w:p>
            <w:pPr>
              <w:pStyle w:val="Compact"/>
              <w:jc w:val="right"/>
            </w:pPr>
            <w:r>
              <w:t xml:space="preserve">$(0.52)B</w:t>
            </w:r>
          </w:p>
        </w:tc>
      </w:tr>
      <w:tr>
        <w:tc>
          <w:tcPr/>
          <w:p>
            <w:pPr>
              <w:pStyle w:val="Compact"/>
            </w:pPr>
            <w:r>
              <w:rPr>
                <w:b/>
                <w:bCs/>
              </w:rPr>
              <w:t xml:space="preserve">Implied 2H26 adjusted EBITDA</w:t>
            </w:r>
          </w:p>
        </w:tc>
        <w:tc>
          <w:tcPr/>
          <w:p>
            <w:pPr>
              <w:pStyle w:val="Compact"/>
              <w:jc w:val="right"/>
            </w:pPr>
            <w:r>
              <w:rPr>
                <w:b/>
                <w:bCs/>
              </w:rPr>
              <w:t xml:space="preserve">$1.95B</w:t>
            </w:r>
          </w:p>
        </w:tc>
        <w:tc>
          <w:tcPr/>
          <w:p>
            <w:pPr>
              <w:pStyle w:val="Compact"/>
              <w:jc w:val="right"/>
            </w:pPr>
            <w:r>
              <w:rPr>
                <w:b/>
                <w:bCs/>
              </w:rPr>
              <w:t xml:space="preserve">$2.30B</w:t>
            </w:r>
          </w:p>
        </w:tc>
      </w:tr>
    </w:tbl>
    <w:p>
      <w:pPr>
        <w:pStyle w:val="BodyText"/>
      </w:pPr>
      <w:r>
        <w:t xml:space="preserve">That means</w:t>
      </w:r>
      <w:r>
        <w:t xml:space="preserve"> </w:t>
      </w:r>
      <w:r>
        <w:rPr>
          <w:b/>
          <w:bCs/>
        </w:rPr>
        <w:t xml:space="preserve">roughly 57%–69% of full-year EBITDA must be generated in 2H26</w:t>
      </w:r>
      <w:r>
        <w:t xml:space="preserve">.</w:t>
      </w:r>
    </w:p>
    <w:p>
      <w:pPr>
        <w:pStyle w:val="BodyText"/>
      </w:pPr>
      <w:r>
        <w:t xml:space="preserve">Management’s prior bridge to that improvement was built on several identifiable items:</w:t>
      </w:r>
    </w:p>
    <w:p>
      <w:pPr>
        <w:pStyle w:val="Compact"/>
        <w:numPr>
          <w:ilvl w:val="0"/>
          <w:numId w:val="1002"/>
        </w:numPr>
      </w:pPr>
      <w:r>
        <w:rPr>
          <w:b/>
          <w:bCs/>
        </w:rPr>
        <w:t xml:space="preserve">North America pricing, volume, mix, and seasonality:</w:t>
      </w:r>
      <w:r>
        <w:t xml:space="preserve"> </w:t>
      </w:r>
      <w:r>
        <w:t xml:space="preserve">roughly</w:t>
      </w:r>
      <w:r>
        <w:t xml:space="preserve"> </w:t>
      </w:r>
      <w:r>
        <w:rPr>
          <w:b/>
          <w:bCs/>
        </w:rPr>
        <w:t xml:space="preserve">$300 million</w:t>
      </w:r>
      <w:r>
        <w:t xml:space="preserve"> </w:t>
      </w:r>
      <w:r>
        <w:t xml:space="preserve">of improvement in 2H versus 1H.</w:t>
      </w:r>
    </w:p>
    <w:p>
      <w:pPr>
        <w:pStyle w:val="Compact"/>
        <w:numPr>
          <w:ilvl w:val="0"/>
          <w:numId w:val="1002"/>
        </w:numPr>
      </w:pPr>
      <w:r>
        <w:rPr>
          <w:b/>
          <w:bCs/>
        </w:rPr>
        <w:t xml:space="preserve">North America 80/20 cost-out and productivity actions:</w:t>
      </w:r>
      <w:r>
        <w:t xml:space="preserve"> </w:t>
      </w:r>
      <w:r>
        <w:t xml:space="preserve">roughly</w:t>
      </w:r>
      <w:r>
        <w:t xml:space="preserve"> </w:t>
      </w:r>
      <w:r>
        <w:rPr>
          <w:b/>
          <w:bCs/>
        </w:rPr>
        <w:t xml:space="preserve">$150 million</w:t>
      </w:r>
      <w:r>
        <w:t xml:space="preserve">.</w:t>
      </w:r>
    </w:p>
    <w:p>
      <w:pPr>
        <w:pStyle w:val="Compact"/>
        <w:numPr>
          <w:ilvl w:val="0"/>
          <w:numId w:val="1002"/>
        </w:numPr>
      </w:pPr>
      <w:r>
        <w:rPr>
          <w:b/>
          <w:bCs/>
        </w:rPr>
        <w:t xml:space="preserve">Lower maintenance burden after the first-half outage schedule:</w:t>
      </w:r>
      <w:r>
        <w:t xml:space="preserve"> </w:t>
      </w:r>
      <w:r>
        <w:t xml:space="preserve">roughly</w:t>
      </w:r>
      <w:r>
        <w:t xml:space="preserve"> </w:t>
      </w:r>
      <w:r>
        <w:rPr>
          <w:b/>
          <w:bCs/>
        </w:rPr>
        <w:t xml:space="preserve">$150 million</w:t>
      </w:r>
      <w:r>
        <w:t xml:space="preserve">.</w:t>
      </w:r>
    </w:p>
    <w:p>
      <w:pPr>
        <w:pStyle w:val="Compact"/>
        <w:numPr>
          <w:ilvl w:val="0"/>
          <w:numId w:val="1002"/>
        </w:numPr>
      </w:pPr>
      <w:r>
        <w:rPr>
          <w:b/>
          <w:bCs/>
        </w:rPr>
        <w:t xml:space="preserve">No repeat of Riverdale conversion and related annual-outage costs:</w:t>
      </w:r>
      <w:r>
        <w:t xml:space="preserve"> </w:t>
      </w:r>
      <w:r>
        <w:t xml:space="preserve">roughly</w:t>
      </w:r>
      <w:r>
        <w:t xml:space="preserve"> </w:t>
      </w:r>
      <w:r>
        <w:rPr>
          <w:b/>
          <w:bCs/>
        </w:rPr>
        <w:t xml:space="preserve">$100 million</w:t>
      </w:r>
      <w:r>
        <w:t xml:space="preserve">.</w:t>
      </w:r>
    </w:p>
    <w:p>
      <w:pPr>
        <w:pStyle w:val="Compact"/>
        <w:numPr>
          <w:ilvl w:val="0"/>
          <w:numId w:val="1002"/>
        </w:numPr>
      </w:pPr>
      <w:r>
        <w:rPr>
          <w:b/>
          <w:bCs/>
        </w:rPr>
        <w:t xml:space="preserve">EMEA margin and commercial recovery:</w:t>
      </w:r>
      <w:r>
        <w:t xml:space="preserve"> </w:t>
      </w:r>
      <w:r>
        <w:t xml:space="preserve">roughly</w:t>
      </w:r>
      <w:r>
        <w:t xml:space="preserve"> </w:t>
      </w:r>
      <w:r>
        <w:rPr>
          <w:b/>
          <w:bCs/>
        </w:rPr>
        <w:t xml:space="preserve">$110 million</w:t>
      </w:r>
      <w:r>
        <w:t xml:space="preserve">.</w:t>
      </w:r>
    </w:p>
    <w:p>
      <w:pPr>
        <w:pStyle w:val="Compact"/>
        <w:numPr>
          <w:ilvl w:val="0"/>
          <w:numId w:val="1002"/>
        </w:numPr>
      </w:pPr>
      <w:r>
        <w:rPr>
          <w:b/>
          <w:bCs/>
        </w:rPr>
        <w:t xml:space="preserve">EMEA cost-out:</w:t>
      </w:r>
      <w:r>
        <w:t xml:space="preserve"> </w:t>
      </w:r>
      <w:r>
        <w:t xml:space="preserve">roughly</w:t>
      </w:r>
      <w:r>
        <w:t xml:space="preserve"> </w:t>
      </w:r>
      <w:r>
        <w:rPr>
          <w:b/>
          <w:bCs/>
        </w:rPr>
        <w:t xml:space="preserve">$40 million</w:t>
      </w:r>
      <w:r>
        <w:t xml:space="preserve">.</w:t>
      </w:r>
    </w:p>
    <w:p>
      <w:pPr>
        <w:pStyle w:val="Compact"/>
        <w:numPr>
          <w:ilvl w:val="0"/>
          <w:numId w:val="1002"/>
        </w:numPr>
      </w:pPr>
      <w:r>
        <w:rPr>
          <w:b/>
          <w:bCs/>
        </w:rPr>
        <w:t xml:space="preserve">Potential EMEA energy normalization:</w:t>
      </w:r>
      <w:r>
        <w:t xml:space="preserve"> </w:t>
      </w:r>
      <w:r>
        <w:t xml:space="preserve">roughly</w:t>
      </w:r>
      <w:r>
        <w:t xml:space="preserve"> </w:t>
      </w:r>
      <w:r>
        <w:rPr>
          <w:b/>
          <w:bCs/>
        </w:rPr>
        <w:t xml:space="preserve">$50 million</w:t>
      </w:r>
      <w:r>
        <w:t xml:space="preserve">, contingent on no additional material escalation in Middle East-related energy disruption.</w:t>
      </w:r>
    </w:p>
    <w:p>
      <w:pPr>
        <w:pStyle w:val="FirstParagraph"/>
      </w:pPr>
      <w:r>
        <w:t xml:space="preserve">The high-level thesis is attractive—pricing realization plus a normalization of known costs—but this report needs to show that the operational foundations are in place. Any delay in Riverdale, renewed reliability issues, or weaker-than-expected box demand would put the second-half algorithm under greater scrutiny.</w:t>
      </w:r>
    </w:p>
    <w:p>
      <w:r>
        <w:pict>
          <v:rect style="width:0;height:1.5pt" o:hralign="center" o:hrstd="t" o:hr="t"/>
        </w:pict>
      </w:r>
    </w:p>
    <w:bookmarkEnd w:id="13"/>
    <w:bookmarkStart w:id="14" w:name="X2b16e19c6d00eccbf1f073885a4b72763332397"/>
    <w:p>
      <w:pPr>
        <w:pStyle w:val="Heading2"/>
      </w:pPr>
      <w:r>
        <w:t xml:space="preserve">Why the setup has improved: containerboard pricing and tight supply</w:t>
      </w:r>
    </w:p>
    <w:p>
      <w:pPr>
        <w:pStyle w:val="FirstParagraph"/>
      </w:pPr>
      <w:r>
        <w:t xml:space="preserve">IP shares rose sharply into the report after industry pricing developments. On July 28, reporting indicated that IP planned an</w:t>
      </w:r>
      <w:r>
        <w:t xml:space="preserve"> </w:t>
      </w:r>
      <w:r>
        <w:rPr>
          <w:b/>
          <w:bCs/>
        </w:rPr>
        <w:t xml:space="preserve">$80/ton containerboard increase effective September 1</w:t>
      </w:r>
      <w:r>
        <w:t xml:space="preserve">, following an announced increase by a large peer. The reported rationale was higher freight, recycled-fiber, chemical, and purchased-electricity costs, as well as strong demand and tight supply.</w:t>
      </w:r>
    </w:p>
    <w:p>
      <w:pPr>
        <w:pStyle w:val="BodyText"/>
      </w:pPr>
      <w:r>
        <w:t xml:space="preserve">For investors, the important distinctions are:</w:t>
      </w:r>
    </w:p>
    <w:p>
      <w:pPr>
        <w:pStyle w:val="Compact"/>
        <w:numPr>
          <w:ilvl w:val="0"/>
          <w:numId w:val="1003"/>
        </w:numPr>
      </w:pPr>
      <w:r>
        <w:rPr>
          <w:b/>
          <w:bCs/>
        </w:rPr>
        <w:t xml:space="preserve">Positive for the medium-term earnings setup:</w:t>
      </w:r>
      <w:r>
        <w:t xml:space="preserve"> </w:t>
      </w:r>
      <w:r>
        <w:t xml:space="preserve">a higher price realization would reinforce IP’s 2027 earnings power and support recovery of inflationary costs.</w:t>
      </w:r>
    </w:p>
    <w:p>
      <w:pPr>
        <w:pStyle w:val="Compact"/>
        <w:numPr>
          <w:ilvl w:val="0"/>
          <w:numId w:val="1003"/>
        </w:numPr>
      </w:pPr>
      <w:r>
        <w:rPr>
          <w:b/>
          <w:bCs/>
        </w:rPr>
        <w:t xml:space="preserve">Not a 2Q catalyst:</w:t>
      </w:r>
      <w:r>
        <w:t xml:space="preserve"> </w:t>
      </w:r>
      <w:r>
        <w:t xml:space="preserve">the September effective date puts it beyond the reported quarter.</w:t>
      </w:r>
    </w:p>
    <w:p>
      <w:pPr>
        <w:pStyle w:val="Compact"/>
        <w:numPr>
          <w:ilvl w:val="0"/>
          <w:numId w:val="1003"/>
        </w:numPr>
      </w:pPr>
      <w:r>
        <w:rPr>
          <w:b/>
          <w:bCs/>
        </w:rPr>
        <w:t xml:space="preserve">Contract timing matters:</w:t>
      </w:r>
      <w:r>
        <w:t xml:space="preserve"> </w:t>
      </w:r>
      <w:r>
        <w:t xml:space="preserve">even if implemented, the benefit should phase in rather than arrive immediately.</w:t>
      </w:r>
    </w:p>
    <w:p>
      <w:pPr>
        <w:pStyle w:val="Compact"/>
        <w:numPr>
          <w:ilvl w:val="0"/>
          <w:numId w:val="1003"/>
        </w:numPr>
      </w:pPr>
      <w:r>
        <w:rPr>
          <w:b/>
          <w:bCs/>
        </w:rPr>
        <w:t xml:space="preserve">It is not yet company-confirmed:</w:t>
      </w:r>
      <w:r>
        <w:t xml:space="preserve"> </w:t>
      </w:r>
      <w:r>
        <w:t xml:space="preserve">IP had not publicly confirmed the increase in the cited reporting, so investors should look for management commentary rather than underwrite the full benefit before confirmation.</w:t>
      </w:r>
    </w:p>
    <w:p>
      <w:pPr>
        <w:pStyle w:val="FirstParagraph"/>
      </w:pPr>
      <w:r>
        <w:t xml:space="preserve">IP’s shares closed at</w:t>
      </w:r>
      <w:r>
        <w:t xml:space="preserve"> </w:t>
      </w:r>
      <w:r>
        <w:rPr>
          <w:b/>
          <w:bCs/>
        </w:rPr>
        <w:t xml:space="preserve">$42.85 on July 29</w:t>
      </w:r>
      <w:r>
        <w:t xml:space="preserve">, after closing at $44.09 on July 28. The stock had appreciated materially in the preceding week, so the earnings call must now support both the near-term guide and the improving pricing narrative.</w:t>
      </w:r>
    </w:p>
    <w:p>
      <w:r>
        <w:pict>
          <v:rect style="width:0;height:1.5pt" o:hralign="center" o:hrstd="t" o:hr="t"/>
        </w:pict>
      </w:r>
    </w:p>
    <w:bookmarkEnd w:id="14"/>
    <w:bookmarkStart w:id="22" w:name="what-investors-should-watch-on-the-call"/>
    <w:p>
      <w:pPr>
        <w:pStyle w:val="Heading2"/>
      </w:pPr>
      <w:r>
        <w:t xml:space="preserve">What investors should watch on the call</w:t>
      </w:r>
    </w:p>
    <w:bookmarkStart w:id="15" w:name="X7a4a361909f803e68155ae3ea27b18bcd275a91"/>
    <w:p>
      <w:pPr>
        <w:pStyle w:val="Heading3"/>
      </w:pPr>
      <w:r>
        <w:t xml:space="preserve">1. Is 2Q EBITDA within the</w:t>
      </w:r>
      <w:r>
        <w:t xml:space="preserve"> </w:t>
      </w:r>
      <m:oMath>
        <m:r>
          <m:t>520</m:t>
        </m:r>
        <m:r>
          <m:t>M</m:t>
        </m:r>
        <m:r>
          <m:rPr>
            <m:sty m:val="p"/>
          </m:rPr>
          <m:t>–</m:t>
        </m:r>
      </m:oMath>
      <w:r>
        <w:t xml:space="preserve">570M range?</w:t>
      </w:r>
    </w:p>
    <w:p>
      <w:pPr>
        <w:pStyle w:val="FirstParagraph"/>
      </w:pPr>
      <w:r>
        <w:t xml:space="preserve">This is the minimum threshold. A result within the range is likely less important than the quality of the exit rate and whether the underlying operational issues are improving.</w:t>
      </w:r>
    </w:p>
    <w:bookmarkEnd w:id="15"/>
    <w:bookmarkStart w:id="16" w:name="X4e5f683206a420220584d363a7e9c0a9aaaab49"/>
    <w:p>
      <w:pPr>
        <w:pStyle w:val="Heading3"/>
      </w:pPr>
      <w:r>
        <w:t xml:space="preserve">2. Did Riverdale finish on time and within the expected cost envelope?</w:t>
      </w:r>
    </w:p>
    <w:p>
      <w:pPr>
        <w:pStyle w:val="FirstParagraph"/>
      </w:pPr>
      <w:r>
        <w:t xml:space="preserve">Riverdale is central to the North American second-half recovery. Management has said the conversion and annual outage should be finished by the end of 2Q. Confirmation of completion, a clean ramp, and no incremental outage spend are critical.</w:t>
      </w:r>
    </w:p>
    <w:bookmarkEnd w:id="16"/>
    <w:bookmarkStart w:id="17" w:name="X02bf3ca6f71dc281d452da0fe7c4cd8722801de"/>
    <w:p>
      <w:pPr>
        <w:pStyle w:val="Heading3"/>
      </w:pPr>
      <w:r>
        <w:t xml:space="preserve">3. Is mill reliability finally becoming visible in financial results?</w:t>
      </w:r>
    </w:p>
    <w:p>
      <w:pPr>
        <w:pStyle w:val="FirstParagraph"/>
      </w:pPr>
      <w:r>
        <w:t xml:space="preserve">IP has pointed to better North American mill performance after the severe winter storm, higher capacity utilization, and productivity gains from its “lighthouse” operating practices. Yet recurring reliability and transition costs have repeatedly limited earnings conversion. Investors should seek concrete measures: downtime, throughput, conversion costs, freight efficiency, and whether the company is tracking to its cost-out plan.</w:t>
      </w:r>
    </w:p>
    <w:bookmarkEnd w:id="17"/>
    <w:bookmarkStart w:id="18" w:name="Xfcd01bbd3f80efeefc8ab27fa0fe1ed0e36e54e"/>
    <w:p>
      <w:pPr>
        <w:pStyle w:val="Heading3"/>
      </w:pPr>
      <w:r>
        <w:t xml:space="preserve">4. Does management reaffirm the size and timing of the 2H26 EBITDA step-up?</w:t>
      </w:r>
    </w:p>
    <w:p>
      <w:pPr>
        <w:pStyle w:val="FirstParagraph"/>
      </w:pPr>
      <w:r>
        <w:t xml:space="preserve">The company previously identified about</w:t>
      </w:r>
      <w:r>
        <w:t xml:space="preserve"> </w:t>
      </w:r>
      <w:r>
        <w:rPr>
          <w:b/>
          <w:bCs/>
        </w:rPr>
        <w:t xml:space="preserve">$650 million of North American 2H improvement</w:t>
      </w:r>
      <w:r>
        <w:t xml:space="preserve"> </w:t>
      </w:r>
      <w:r>
        <w:t xml:space="preserve">versus 1H. That bridge contains roughly $150 million of cost-out that management itself identified as a key execution risk. Reaffirmation alone may not be enough; the market will want evidence of realized savings and a more granular discussion of timing.</w:t>
      </w:r>
    </w:p>
    <w:bookmarkEnd w:id="18"/>
    <w:bookmarkStart w:id="19" w:name="X0c1af4b3e86d6219f308906d76f5cee663f23b3"/>
    <w:p>
      <w:pPr>
        <w:pStyle w:val="Heading3"/>
      </w:pPr>
      <w:r>
        <w:t xml:space="preserve">5. Are North American box volumes still outperforming the market?</w:t>
      </w:r>
    </w:p>
    <w:p>
      <w:pPr>
        <w:pStyle w:val="FirstParagraph"/>
      </w:pPr>
      <w:r>
        <w:t xml:space="preserve">In 1Q, IP’s North American box shipments rose</w:t>
      </w:r>
      <w:r>
        <w:t xml:space="preserve"> </w:t>
      </w:r>
      <w:r>
        <w:rPr>
          <w:b/>
          <w:bCs/>
        </w:rPr>
        <w:t xml:space="preserve">2.5% year over year on a per-day basis</w:t>
      </w:r>
      <w:r>
        <w:t xml:space="preserve">, versus an industry decline of 0.3%, and the company expected approximately 3% growth in 2Q while the industry remained roughly flat. Sustained outgrowth supports the commercial turnaround, but investors should assess whether it is occurring without excessive price concessions.</w:t>
      </w:r>
    </w:p>
    <w:bookmarkEnd w:id="19"/>
    <w:bookmarkStart w:id="20" w:name="X70c215d0756471799a480aa1c994811b15e9809"/>
    <w:p>
      <w:pPr>
        <w:pStyle w:val="Heading3"/>
      </w:pPr>
      <w:r>
        <w:t xml:space="preserve">6. Is EMEA volume improving while price discipline holds?</w:t>
      </w:r>
    </w:p>
    <w:p>
      <w:pPr>
        <w:pStyle w:val="FirstParagraph"/>
      </w:pPr>
      <w:r>
        <w:t xml:space="preserve">EMEA is balancing volume recovery against pricing discipline in a soft market. Watch for:</w:t>
      </w:r>
    </w:p>
    <w:p>
      <w:pPr>
        <w:pStyle w:val="Compact"/>
        <w:numPr>
          <w:ilvl w:val="0"/>
          <w:numId w:val="1004"/>
        </w:numPr>
      </w:pPr>
      <w:r>
        <w:t xml:space="preserve">the pace of customer-win contributions;</w:t>
      </w:r>
    </w:p>
    <w:p>
      <w:pPr>
        <w:pStyle w:val="Compact"/>
        <w:numPr>
          <w:ilvl w:val="0"/>
          <w:numId w:val="1004"/>
        </w:numPr>
      </w:pPr>
      <w:r>
        <w:t xml:space="preserve">the timing of box-price recovery;</w:t>
      </w:r>
    </w:p>
    <w:p>
      <w:pPr>
        <w:pStyle w:val="Compact"/>
        <w:numPr>
          <w:ilvl w:val="0"/>
          <w:numId w:val="1004"/>
        </w:numPr>
      </w:pPr>
      <w:r>
        <w:t xml:space="preserve">energy and distribution-cost trends;</w:t>
      </w:r>
    </w:p>
    <w:p>
      <w:pPr>
        <w:pStyle w:val="Compact"/>
        <w:numPr>
          <w:ilvl w:val="0"/>
          <w:numId w:val="1004"/>
        </w:numPr>
      </w:pPr>
      <w:r>
        <w:t xml:space="preserve">further footprint actions and associated cost savings; and</w:t>
      </w:r>
    </w:p>
    <w:p>
      <w:pPr>
        <w:pStyle w:val="Compact"/>
        <w:numPr>
          <w:ilvl w:val="0"/>
          <w:numId w:val="1004"/>
        </w:numPr>
      </w:pPr>
      <w:r>
        <w:t xml:space="preserve">any commentary on the planned separation of the EMEA business.</w:t>
      </w:r>
    </w:p>
    <w:bookmarkEnd w:id="20"/>
    <w:bookmarkStart w:id="21" w:name="X51d9ddc110ba248f5d1296f724c35a749e8677e"/>
    <w:p>
      <w:pPr>
        <w:pStyle w:val="Heading3"/>
      </w:pPr>
      <w:r>
        <w:t xml:space="preserve">7. What is the status of the EMEA separation and NORPAC acquisition?</w:t>
      </w:r>
    </w:p>
    <w:p>
      <w:pPr>
        <w:pStyle w:val="FirstParagraph"/>
      </w:pPr>
      <w:r>
        <w:t xml:space="preserve">IP remains on a timetable to separate its North American and EMEA operations into independent public companies within</w:t>
      </w:r>
      <w:r>
        <w:t xml:space="preserve"> </w:t>
      </w:r>
      <w:r>
        <w:rPr>
          <w:b/>
          <w:bCs/>
        </w:rPr>
        <w:t xml:space="preserve">12–15 months of the January 29, 2026 announcement</w:t>
      </w:r>
      <w:r>
        <w:t xml:space="preserve">. The company expects to retain about a 20% EMEA stake for roughly 12–18 months after separation. Updates on transaction costs, capital structure, and separation readiness matter because EMEA has already incurred significant impairment and restructuring charges.</w:t>
      </w:r>
    </w:p>
    <w:p>
      <w:pPr>
        <w:pStyle w:val="BodyText"/>
      </w:pPr>
      <w:r>
        <w:t xml:space="preserve">Separately, IP announced its proposed</w:t>
      </w:r>
      <w:r>
        <w:t xml:space="preserve"> </w:t>
      </w:r>
      <w:r>
        <w:rPr>
          <w:b/>
          <w:bCs/>
        </w:rPr>
        <w:t xml:space="preserve">$360 million acquisition of NORPAC</w:t>
      </w:r>
      <w:r>
        <w:t xml:space="preserve">, a West Coast paper mill expected to improve freight economics, expand recycled lightweight-containerboard capability, and generate high-teens or better returns over time. Investors should look for regulatory, closing, and integration updates.</w:t>
      </w:r>
    </w:p>
    <w:p>
      <w:r>
        <w:pict>
          <v:rect style="width:0;height:1.5pt" o:hralign="center" o:hrstd="t" o:hr="t"/>
        </w:pict>
      </w:r>
    </w:p>
    <w:bookmarkEnd w:id="21"/>
    <w:bookmarkEnd w:id="22"/>
    <w:bookmarkStart w:id="23" w:name="key-risks-into-the-print"/>
    <w:p>
      <w:pPr>
        <w:pStyle w:val="Heading2"/>
      </w:pPr>
      <w:r>
        <w:t xml:space="preserve">Key risks into the print</w:t>
      </w:r>
    </w:p>
    <w:p>
      <w:pPr>
        <w:pStyle w:val="Compact"/>
        <w:numPr>
          <w:ilvl w:val="0"/>
          <w:numId w:val="1005"/>
        </w:numPr>
      </w:pPr>
      <w:r>
        <w:rPr>
          <w:b/>
          <w:bCs/>
        </w:rPr>
        <w:t xml:space="preserve">Operational execution:</w:t>
      </w:r>
      <w:r>
        <w:t xml:space="preserve"> </w:t>
      </w:r>
      <w:r>
        <w:t xml:space="preserve">The recovery depends on planned outage completion, Riverdale ramp-up, mill reliability, and supply-chain efficiency.</w:t>
      </w:r>
    </w:p>
    <w:p>
      <w:pPr>
        <w:pStyle w:val="Compact"/>
        <w:numPr>
          <w:ilvl w:val="0"/>
          <w:numId w:val="1005"/>
        </w:numPr>
      </w:pPr>
      <w:r>
        <w:rPr>
          <w:b/>
          <w:bCs/>
        </w:rPr>
        <w:t xml:space="preserve">Freight, energy, OCC, and chemical inflation:</w:t>
      </w:r>
      <w:r>
        <w:t xml:space="preserve"> </w:t>
      </w:r>
      <w:r>
        <w:t xml:space="preserve">These costs pressured both businesses and could erode the expected second-half recovery if not recovered through price.</w:t>
      </w:r>
    </w:p>
    <w:p>
      <w:pPr>
        <w:pStyle w:val="Compact"/>
        <w:numPr>
          <w:ilvl w:val="0"/>
          <w:numId w:val="1005"/>
        </w:numPr>
      </w:pPr>
      <w:r>
        <w:rPr>
          <w:b/>
          <w:bCs/>
        </w:rPr>
        <w:t xml:space="preserve">Demand uncertainty:</w:t>
      </w:r>
      <w:r>
        <w:t xml:space="preserve"> </w:t>
      </w:r>
      <w:r>
        <w:t xml:space="preserve">IP’s baseline view has been essentially flat North American industry demand in 2026 and modest European growth. A softer consumer or industrial environment could undercut volume and mix.</w:t>
      </w:r>
    </w:p>
    <w:p>
      <w:pPr>
        <w:pStyle w:val="Compact"/>
        <w:numPr>
          <w:ilvl w:val="0"/>
          <w:numId w:val="1005"/>
        </w:numPr>
      </w:pPr>
      <w:r>
        <w:rPr>
          <w:b/>
          <w:bCs/>
        </w:rPr>
        <w:t xml:space="preserve">EMEA margin recovery:</w:t>
      </w:r>
      <w:r>
        <w:t xml:space="preserve"> </w:t>
      </w:r>
      <w:r>
        <w:t xml:space="preserve">The segment’s earnings improvement depends materially on box-price catch-up after paper and energy cost increases.</w:t>
      </w:r>
    </w:p>
    <w:p>
      <w:pPr>
        <w:pStyle w:val="Compact"/>
        <w:numPr>
          <w:ilvl w:val="0"/>
          <w:numId w:val="1005"/>
        </w:numPr>
      </w:pPr>
      <w:r>
        <w:rPr>
          <w:b/>
          <w:bCs/>
        </w:rPr>
        <w:t xml:space="preserve">Balance-sheet and cash-flow demands:</w:t>
      </w:r>
      <w:r>
        <w:t xml:space="preserve"> </w:t>
      </w:r>
      <w:r>
        <w:t xml:space="preserve">IP expects 2026 capex of approximately</w:t>
      </w:r>
      <w:r>
        <w:t xml:space="preserve"> </w:t>
      </w:r>
      <m:oMath>
        <m:r>
          <m:t>2.0</m:t>
        </m:r>
        <m:r>
          <m:t>b</m:t>
        </m:r>
        <m:r>
          <m:t>i</m:t>
        </m:r>
        <m:r>
          <m:t>l</m:t>
        </m:r>
        <m:r>
          <m:t>l</m:t>
        </m:r>
        <m:r>
          <m:t>i</m:t>
        </m:r>
        <m:r>
          <m:t>o</m:t>
        </m:r>
        <m:r>
          <m:t>n</m:t>
        </m:r>
        <m:r>
          <m:rPr>
            <m:sty m:val="p"/>
          </m:rPr>
          <m:t>–</m:t>
        </m:r>
      </m:oMath>
      <w:r>
        <w:rPr>
          <w:b/>
          <w:bCs/>
        </w:rPr>
        <w:t xml:space="preserve">2.1 billion</w:t>
      </w:r>
      <w:r>
        <w:t xml:space="preserve">, above depreciation and amortization, while funding transformation, separation work, maintenance, dividends, and the NORPAC transaction.</w:t>
      </w:r>
    </w:p>
    <w:p>
      <w:pPr>
        <w:pStyle w:val="Compact"/>
        <w:numPr>
          <w:ilvl w:val="0"/>
          <w:numId w:val="1005"/>
        </w:numPr>
      </w:pPr>
      <w:r>
        <w:rPr>
          <w:b/>
          <w:bCs/>
        </w:rPr>
        <w:t xml:space="preserve">Credibility risk:</w:t>
      </w:r>
      <w:r>
        <w:t xml:space="preserve"> </w:t>
      </w:r>
      <w:r>
        <w:t xml:space="preserve">Management has acknowledged that quarterly performance has missed expectations. This quarter is an opportunity to rebuild confidence—but also a test of whether the second-half plan is sufficiently conservative.</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IP’s 2Q26 report should be viewed as a</w:t>
      </w:r>
      <w:r>
        <w:t xml:space="preserve"> </w:t>
      </w:r>
      <w:r>
        <w:rPr>
          <w:b/>
          <w:bCs/>
        </w:rPr>
        <w:t xml:space="preserve">proof-of-execution quarter rather than a near-term earnings-growth quarter</w:t>
      </w:r>
      <w:r>
        <w:t xml:space="preserve">. The guided EBITDA decline is well understood: it reflects concentrated maintenance, Riverdale conversion spending, and EMEA cost-price timing. What matters is whether management can substantiate the large second-half recovery required to retain its full-year outlook.</w:t>
      </w:r>
    </w:p>
    <w:p>
      <w:pPr>
        <w:pStyle w:val="BodyText"/>
      </w:pPr>
      <w:r>
        <w:t xml:space="preserve">A constructive report would feature:</w:t>
      </w:r>
    </w:p>
    <w:p>
      <w:pPr>
        <w:pStyle w:val="Compact"/>
        <w:numPr>
          <w:ilvl w:val="0"/>
          <w:numId w:val="1006"/>
        </w:numPr>
      </w:pPr>
      <w:r>
        <w:t xml:space="preserve">EBITDA within or above the</w:t>
      </w:r>
      <w:r>
        <w:t xml:space="preserve"> </w:t>
      </w:r>
      <m:oMath>
        <m:r>
          <m:t>520</m:t>
        </m:r>
        <m:r>
          <m:t>m</m:t>
        </m:r>
        <m:r>
          <m:t>i</m:t>
        </m:r>
        <m:r>
          <m:t>l</m:t>
        </m:r>
        <m:r>
          <m:t>l</m:t>
        </m:r>
        <m:r>
          <m:t>i</m:t>
        </m:r>
        <m:r>
          <m:t>o</m:t>
        </m:r>
        <m:r>
          <m:t>n</m:t>
        </m:r>
        <m:r>
          <m:rPr>
            <m:sty m:val="p"/>
          </m:rPr>
          <m:t>–</m:t>
        </m:r>
      </m:oMath>
      <w:r>
        <w:t xml:space="preserve">570 million guide;</w:t>
      </w:r>
    </w:p>
    <w:p>
      <w:pPr>
        <w:pStyle w:val="Compact"/>
        <w:numPr>
          <w:ilvl w:val="0"/>
          <w:numId w:val="1006"/>
        </w:numPr>
      </w:pPr>
      <w:r>
        <w:t xml:space="preserve">completed Riverdale work and a credible ramp;</w:t>
      </w:r>
    </w:p>
    <w:p>
      <w:pPr>
        <w:pStyle w:val="Compact"/>
        <w:numPr>
          <w:ilvl w:val="0"/>
          <w:numId w:val="1006"/>
        </w:numPr>
      </w:pPr>
      <w:r>
        <w:t xml:space="preserve">measurable improvement in North American reliability and cost-out;</w:t>
      </w:r>
    </w:p>
    <w:p>
      <w:pPr>
        <w:pStyle w:val="Compact"/>
        <w:numPr>
          <w:ilvl w:val="0"/>
          <w:numId w:val="1006"/>
        </w:numPr>
      </w:pPr>
      <w:r>
        <w:t xml:space="preserve">ongoing box-volume outperformance without damaging price discipline;</w:t>
      </w:r>
    </w:p>
    <w:p>
      <w:pPr>
        <w:pStyle w:val="Compact"/>
        <w:numPr>
          <w:ilvl w:val="0"/>
          <w:numId w:val="1006"/>
        </w:numPr>
      </w:pPr>
      <w:r>
        <w:t xml:space="preserve">confirmation that EMEA margin pressure peaked in 2Q; and</w:t>
      </w:r>
    </w:p>
    <w:p>
      <w:pPr>
        <w:pStyle w:val="Compact"/>
        <w:numPr>
          <w:ilvl w:val="0"/>
          <w:numId w:val="1006"/>
        </w:numPr>
      </w:pPr>
      <w:r>
        <w:t xml:space="preserve">clear commentary on the reported September containerboard price increase and its expected realization profile.</w:t>
      </w:r>
    </w:p>
    <w:p>
      <w:pPr>
        <w:pStyle w:val="FirstParagraph"/>
      </w:pPr>
      <w:r>
        <w:t xml:space="preserve">Conversely, a guide reduction, Riverdale delays, renewed reliability costs, or softer demand would challenge the central premise that 2Q marks the earnings trough before a substantial 2H recovery.</w:t>
      </w:r>
    </w:p>
    <w:p>
      <w:pPr>
        <w:pStyle w:val="BodyText"/>
      </w:pPr>
      <w:r>
        <w:rPr>
          <w:i/>
          <w:iCs/>
        </w:rPr>
        <w:t xml:space="preserve">Source basis: International Paper’s 1Q26 earnings release, 1Q26 earnings-call transcript, May 2026 Form 10-Q, July 2026 company/news updates, and recent IP share-price data.</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2026-07-29T18:48:11Z</dcterms:created>
  <dcterms:modified xsi:type="dcterms:W3CDTF">2026-07-29T18:48:11Z</dcterms:modified>
</cp:coreProperties>
</file>

<file path=docProps/custom.xml><?xml version="1.0" encoding="utf-8"?>
<Properties xmlns="http://schemas.openxmlformats.org/officeDocument/2006/custom-properties" xmlns:vt="http://schemas.openxmlformats.org/officeDocument/2006/docPropsVTypes"/>
</file>