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International Paper Company (IP)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International Paper Company</w:t>
            </w:r>
          </w:p>
        </w:tc>
        <w:tc>
          <w:tcPr>
            <w:tcW w:type="dxa" w:w="2160"/>
          </w:tcPr>
          <w:p>
            <w:r>
              <w:rPr>
                <w:rFonts w:ascii="Calibri" w:hAnsi="Calibri"/>
                <w:b/>
                <w:sz w:val="22"/>
              </w:rPr>
              <w:t>Earnings Date</w:t>
            </w:r>
          </w:p>
        </w:tc>
        <w:tc>
          <w:tcPr>
            <w:tcW w:type="dxa" w:w="2160"/>
          </w:tcPr>
          <w:p>
            <w:r>
              <w:rPr>
                <w:rFonts w:ascii="Calibri" w:hAnsi="Calibri"/>
                <w:sz w:val="22"/>
              </w:rPr>
              <w:t>July 30, 2026 (Pre-Market)</w:t>
            </w:r>
          </w:p>
        </w:tc>
      </w:tr>
      <w:tr>
        <w:tc>
          <w:tcPr>
            <w:tcW w:type="dxa" w:w="2160"/>
          </w:tcPr>
          <w:p>
            <w:r>
              <w:rPr>
                <w:rFonts w:ascii="Calibri" w:hAnsi="Calibri"/>
                <w:b/>
                <w:sz w:val="22"/>
              </w:rPr>
              <w:t>Ticker</w:t>
            </w:r>
          </w:p>
        </w:tc>
        <w:tc>
          <w:tcPr>
            <w:tcW w:type="dxa" w:w="2160"/>
          </w:tcPr>
          <w:p>
            <w:r>
              <w:rPr>
                <w:rFonts w:ascii="Calibri" w:hAnsi="Calibri"/>
                <w:sz w:val="22"/>
              </w:rPr>
              <w:t>IP (NYSE)</w:t>
            </w:r>
          </w:p>
        </w:tc>
        <w:tc>
          <w:tcPr>
            <w:tcW w:type="dxa" w:w="2160"/>
          </w:tcPr>
          <w:p>
            <w:r>
              <w:rPr>
                <w:rFonts w:ascii="Calibri" w:hAnsi="Calibri"/>
                <w:b/>
                <w:sz w:val="22"/>
              </w:rPr>
              <w:t>Prepared Date</w:t>
            </w:r>
          </w:p>
        </w:tc>
        <w:tc>
          <w:tcPr>
            <w:tcW w:type="dxa" w:w="2160"/>
          </w:tcPr>
          <w:p>
            <w:r>
              <w:rPr>
                <w:rFonts w:ascii="Calibri" w:hAnsi="Calibri"/>
                <w:sz w:val="22"/>
              </w:rPr>
              <w:t>July 29, 2026</w:t>
            </w:r>
          </w:p>
        </w:tc>
      </w:tr>
      <w:tr>
        <w:tc>
          <w:tcPr>
            <w:tcW w:type="dxa" w:w="2160"/>
          </w:tcPr>
          <w:p>
            <w:r>
              <w:rPr>
                <w:rFonts w:ascii="Calibri" w:hAnsi="Calibri"/>
                <w:b/>
                <w:sz w:val="22"/>
              </w:rPr>
              <w:t>Reporting Period</w:t>
            </w:r>
          </w:p>
        </w:tc>
        <w:tc>
          <w:tcPr>
            <w:tcW w:type="dxa" w:w="2160"/>
          </w:tcPr>
          <w:p>
            <w:r>
              <w:rPr>
                <w:rFonts w:ascii="Calibri" w:hAnsi="Calibri"/>
                <w:sz w:val="22"/>
              </w:rPr>
              <w:t>Q2 2026 (June 30, 2026)</w:t>
            </w:r>
          </w:p>
        </w:tc>
        <w:tc>
          <w:tcPr>
            <w:tcW w:type="dxa" w:w="2160"/>
          </w:tcPr>
          <w:p>
            <w:r>
              <w:rPr>
                <w:rFonts w:ascii="Calibri" w:hAnsi="Calibri"/>
                <w:b/>
                <w:sz w:val="22"/>
              </w:rPr>
              <w:t>Sector ETF</w:t>
            </w:r>
          </w:p>
        </w:tc>
        <w:tc>
          <w:tcPr>
            <w:tcW w:type="dxa" w:w="2160"/>
          </w:tcPr>
          <w:p>
            <w:r>
              <w:rPr>
                <w:rFonts w:ascii="Calibri" w:hAnsi="Calibri"/>
                <w:sz w:val="22"/>
              </w:rPr>
              <w:t>IYM (Materials)</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is a low bar with a potential beat on EBITDA — management pre-disclosed Q2 adjusted EBITDA of </w:t>
      </w:r>
      <w:r>
        <w:rPr>
          <w:rFonts w:ascii="Calibri" w:hAnsi="Calibri"/>
          <w:b/>
          <w:color w:val="525866"/>
          <w:sz w:val="22"/>
        </w:rPr>
        <w:t>$520–$570M</w:t>
      </w:r>
      <w:r>
        <w:rPr>
          <w:rFonts w:ascii="Calibri" w:hAnsi="Calibri"/>
          <w:b/>
          <w:color w:val="525866"/>
          <w:sz w:val="22"/>
        </w:rPr>
        <w:t xml:space="preserve"> (midpoint $545M) vs. consensus of ~$539M, effectively anchoring expectations; the bigger swing factor is whether the H2 recovery bridge — driven by $70/ton of published price increases flowing through in Q3 — is credible enough to re-rate the stock.</w:t>
      </w:r>
    </w:p>
    <w:p>
      <w:r>
        <w:rPr>
          <w:rFonts w:ascii="Calibri" w:hAnsi="Calibri"/>
          <w:color w:val="525866"/>
          <w:sz w:val="22"/>
        </w:rPr>
        <w:t xml:space="preserve">Heading into Q2 2026 results, the bar for International Paper is deliberately low: management pre-announced a preliminary, unaudited Q2 adjusted EBITDA range of </w:t>
      </w:r>
      <w:r>
        <w:rPr>
          <w:rFonts w:ascii="Calibri" w:hAnsi="Calibri"/>
          <w:b/>
          <w:color w:val="525866"/>
          <w:sz w:val="22"/>
        </w:rPr>
        <w:t>$520–$570M</w:t>
      </w:r>
      <w:r>
        <w:rPr>
          <w:rFonts w:ascii="Calibri" w:hAnsi="Calibri"/>
          <w:color w:val="525866"/>
          <w:sz w:val="22"/>
        </w:rPr>
        <w:t xml:space="preserve"> (midpoint $545M) on July 17, essentially setting the floor for consensus and removing most of the downside surprise risk on the headline number. The consensus EPS estimate of </w:t>
      </w:r>
      <w:r>
        <w:rPr>
          <w:rFonts w:ascii="Calibri" w:hAnsi="Calibri"/>
          <w:b/>
          <w:color w:val="525866"/>
          <w:sz w:val="22"/>
        </w:rPr>
        <w:t>–$0.04</w:t>
      </w:r>
      <w:r>
        <w:rPr>
          <w:rFonts w:ascii="Calibri" w:hAnsi="Calibri"/>
          <w:color w:val="525866"/>
          <w:sz w:val="22"/>
        </w:rPr>
        <w:t xml:space="preserve"> reflects the reality that Q2 is the trough quarter — peak EMEA margin compression (paper cost increases flowing through ahead of box pricing recovery), a heavy maintenance outage schedule including the Riverdale paper machine conversion, and the lingering drag from the February $20/ton price decrease — all of which management explicitly guided for on the April 30 call. Estimate trajectory has been modestly negative (Q2 EPS drifted from –$0.02 to –$0.04 over 60 days) but the EBITDA pre-announcement has stabilized the near-term number. The stock has </w:t>
      </w:r>
      <w:r>
        <w:rPr>
          <w:rFonts w:ascii="Calibri" w:hAnsi="Calibri"/>
          <w:b/>
          <w:color w:val="525866"/>
          <w:sz w:val="22"/>
        </w:rPr>
        <w:t>rallied ~40% since the Q1 print</w:t>
      </w:r>
      <w:r>
        <w:rPr>
          <w:rFonts w:ascii="Calibri" w:hAnsi="Calibri"/>
          <w:color w:val="525866"/>
          <w:sz w:val="22"/>
        </w:rPr>
        <w:t xml:space="preserve"> (from $30.42 to ~$44), driven by a sharp re-rating on the back of PKG's Q2 beat and a new $140/ton containerboard price increase announcement, a JPMorgan upgrade to Overweight with a $61 target, and improving sentiment around the H2 pricing recovery thesis — meaning the stock has already priced in a meaningful portion of the good news. The </w:t>
      </w:r>
      <w:r>
        <w:rPr>
          <w:rFonts w:ascii="Calibri" w:hAnsi="Calibri"/>
          <w:b/>
          <w:color w:val="525866"/>
          <w:sz w:val="22"/>
        </w:rPr>
        <w:t>wildcard</w:t>
      </w:r>
      <w:r>
        <w:rPr>
          <w:rFonts w:ascii="Calibri" w:hAnsi="Calibri"/>
          <w:color w:val="525866"/>
          <w:sz w:val="22"/>
        </w:rPr>
        <w:t xml:space="preserve"> is the credibility of the H2 2026 EBITDA step-up of ~$650M in North America: if management can demonstrate that the March/April price increases are flowing through as expected and that EMEA margin compression has peaked, the stock could sustain its re-rating; if macro headwinds (diesel, OCC, demand softness) or EMEA execution disappoint again, the rally is vulnerable.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heading into Q2 — management pre-announced EBITDA of $520–$570M, bracketing the ~$539M consensus estimate; the bigger swing factor is </w:t>
      </w:r>
      <w:r>
        <w:rPr>
          <w:rFonts w:ascii="Calibri" w:hAnsi="Calibri"/>
          <w:b/>
          <w:color w:val="525866"/>
          <w:sz w:val="22"/>
        </w:rPr>
        <w:t>North America EBITDA</w:t>
      </w:r>
      <w:r>
        <w:rPr>
          <w:rFonts w:ascii="Calibri" w:hAnsi="Calibri"/>
          <w:color w:val="525866"/>
          <w:sz w:val="22"/>
        </w:rPr>
        <w:t xml:space="preserve"> (guided $380–$410M) vs. execution on cost-out and volume, while EMEA is expected to be the trough quarter at $150–$170M.</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 EBITDA — Enterprise ($M)</w:t>
            </w:r>
          </w:p>
        </w:tc>
        <w:tc>
          <w:tcPr>
            <w:tcW w:type="dxa" w:w="1234"/>
          </w:tcPr>
          <w:p>
            <w:r>
              <w:rPr>
                <w:rFonts w:ascii="Calibri" w:hAnsi="Calibri"/>
                <w:sz w:val="22"/>
              </w:rPr>
              <w:t>$677M</w:t>
            </w:r>
          </w:p>
        </w:tc>
        <w:tc>
          <w:tcPr>
            <w:tcW w:type="dxa" w:w="1234"/>
          </w:tcPr>
          <w:p>
            <w:r>
              <w:rPr>
                <w:rFonts w:ascii="Calibri" w:hAnsi="Calibri"/>
                <w:sz w:val="22"/>
              </w:rPr>
              <w:t>$733M</w:t>
            </w:r>
          </w:p>
        </w:tc>
        <w:tc>
          <w:tcPr>
            <w:tcW w:type="dxa" w:w="1234"/>
          </w:tcPr>
          <w:p>
            <w:r>
              <w:rPr>
                <w:rFonts w:ascii="Calibri" w:hAnsi="Calibri"/>
                <w:sz w:val="22"/>
              </w:rPr>
              <w:t>$539M</w:t>
            </w:r>
          </w:p>
        </w:tc>
        <w:tc>
          <w:tcPr>
            <w:tcW w:type="dxa" w:w="1234"/>
          </w:tcPr>
          <w:p>
            <w:r>
              <w:rPr>
                <w:rFonts w:ascii="Calibri" w:hAnsi="Calibri"/>
                <w:sz w:val="22"/>
              </w:rPr>
              <w:t>−26.5%</w:t>
            </w:r>
          </w:p>
        </w:tc>
        <w:tc>
          <w:tcPr>
            <w:tcW w:type="dxa" w:w="1234"/>
          </w:tcPr>
          <w:p>
            <w:r>
              <w:rPr>
                <w:rFonts w:ascii="Calibri" w:hAnsi="Calibri"/>
                <w:sz w:val="22"/>
              </w:rPr>
              <w:t>$520–$570M (mid: $545M)</w:t>
            </w:r>
          </w:p>
        </w:tc>
        <w:tc>
          <w:tcPr>
            <w:tcW w:type="dxa" w:w="1234"/>
          </w:tcPr>
          <w:p>
            <w:r>
              <w:rPr>
                <w:rFonts w:ascii="Calibri" w:hAnsi="Calibri"/>
                <w:sz w:val="22"/>
              </w:rPr>
              <w:t>−1.1%</w:t>
            </w:r>
          </w:p>
        </w:tc>
      </w:tr>
      <w:tr>
        <w:tc>
          <w:tcPr>
            <w:tcW w:type="dxa" w:w="1234"/>
          </w:tcPr>
          <w:p>
            <w:r>
              <w:rPr>
                <w:rFonts w:ascii="Calibri" w:hAnsi="Calibri"/>
                <w:sz w:val="22"/>
              </w:rPr>
              <w:t>Adj. EBITDA — North America ($M)</w:t>
            </w:r>
          </w:p>
        </w:tc>
        <w:tc>
          <w:tcPr>
            <w:tcW w:type="dxa" w:w="1234"/>
          </w:tcPr>
          <w:p>
            <w:r>
              <w:rPr>
                <w:rFonts w:ascii="Calibri" w:hAnsi="Calibri"/>
                <w:sz w:val="22"/>
              </w:rPr>
              <w:t>$477M</w:t>
            </w:r>
          </w:p>
        </w:tc>
        <w:tc>
          <w:tcPr>
            <w:tcW w:type="dxa" w:w="1234"/>
          </w:tcPr>
          <w:p>
            <w:r>
              <w:rPr>
                <w:rFonts w:ascii="Calibri" w:hAnsi="Calibri"/>
                <w:sz w:val="22"/>
              </w:rPr>
              <w:t>$515M</w:t>
            </w:r>
          </w:p>
        </w:tc>
        <w:tc>
          <w:tcPr>
            <w:tcW w:type="dxa" w:w="1234"/>
          </w:tcPr>
          <w:p>
            <w:r>
              <w:rPr>
                <w:rFonts w:ascii="Calibri" w:hAnsi="Calibri"/>
                <w:sz w:val="22"/>
              </w:rPr>
              <w:t>$398M</w:t>
            </w:r>
          </w:p>
        </w:tc>
        <w:tc>
          <w:tcPr>
            <w:tcW w:type="dxa" w:w="1234"/>
          </w:tcPr>
          <w:p>
            <w:r>
              <w:rPr>
                <w:rFonts w:ascii="Calibri" w:hAnsi="Calibri"/>
                <w:sz w:val="22"/>
              </w:rPr>
              <w:t>−22.7%</w:t>
            </w:r>
          </w:p>
        </w:tc>
        <w:tc>
          <w:tcPr>
            <w:tcW w:type="dxa" w:w="1234"/>
          </w:tcPr>
          <w:p>
            <w:r>
              <w:rPr>
                <w:rFonts w:ascii="Calibri" w:hAnsi="Calibri"/>
                <w:sz w:val="22"/>
              </w:rPr>
              <w:t>$380–$410M (mid: $395M)</w:t>
            </w:r>
          </w:p>
        </w:tc>
        <w:tc>
          <w:tcPr>
            <w:tcW w:type="dxa" w:w="1234"/>
          </w:tcPr>
          <w:p>
            <w:r>
              <w:rPr>
                <w:rFonts w:ascii="Calibri" w:hAnsi="Calibri"/>
                <w:sz w:val="22"/>
              </w:rPr>
              <w:t>+0.8%</w:t>
            </w:r>
          </w:p>
        </w:tc>
      </w:tr>
      <w:tr>
        <w:tc>
          <w:tcPr>
            <w:tcW w:type="dxa" w:w="1234"/>
          </w:tcPr>
          <w:p>
            <w:r>
              <w:rPr>
                <w:rFonts w:ascii="Calibri" w:hAnsi="Calibri"/>
                <w:sz w:val="22"/>
              </w:rPr>
              <w:t>Adj. EBITDA — EMEA ($M)</w:t>
            </w:r>
          </w:p>
        </w:tc>
        <w:tc>
          <w:tcPr>
            <w:tcW w:type="dxa" w:w="1234"/>
          </w:tcPr>
          <w:p>
            <w:r>
              <w:rPr>
                <w:rFonts w:ascii="Calibri" w:hAnsi="Calibri"/>
                <w:sz w:val="22"/>
              </w:rPr>
              <w:t>$208M</w:t>
            </w:r>
          </w:p>
        </w:tc>
        <w:tc>
          <w:tcPr>
            <w:tcW w:type="dxa" w:w="1234"/>
          </w:tcPr>
          <w:p>
            <w:r>
              <w:rPr>
                <w:rFonts w:ascii="Calibri" w:hAnsi="Calibri"/>
                <w:sz w:val="22"/>
              </w:rPr>
              <w:t>$194M</w:t>
            </w:r>
          </w:p>
        </w:tc>
        <w:tc>
          <w:tcPr>
            <w:tcW w:type="dxa" w:w="1234"/>
          </w:tcPr>
          <w:p>
            <w:r>
              <w:rPr>
                <w:rFonts w:ascii="Calibri" w:hAnsi="Calibri"/>
                <w:sz w:val="22"/>
              </w:rPr>
              <w:t>$159M</w:t>
            </w:r>
          </w:p>
        </w:tc>
        <w:tc>
          <w:tcPr>
            <w:tcW w:type="dxa" w:w="1234"/>
          </w:tcPr>
          <w:p>
            <w:r>
              <w:rPr>
                <w:rFonts w:ascii="Calibri" w:hAnsi="Calibri"/>
                <w:sz w:val="22"/>
              </w:rPr>
              <w:t>−18.0%</w:t>
            </w:r>
          </w:p>
        </w:tc>
        <w:tc>
          <w:tcPr>
            <w:tcW w:type="dxa" w:w="1234"/>
          </w:tcPr>
          <w:p>
            <w:r>
              <w:rPr>
                <w:rFonts w:ascii="Calibri" w:hAnsi="Calibri"/>
                <w:sz w:val="22"/>
              </w:rPr>
              <w:t>$150–$170M (mid: $160M)</w:t>
            </w:r>
          </w:p>
        </w:tc>
        <w:tc>
          <w:tcPr>
            <w:tcW w:type="dxa" w:w="1234"/>
          </w:tcPr>
          <w:p>
            <w:r>
              <w:rPr>
                <w:rFonts w:ascii="Calibri" w:hAnsi="Calibri"/>
                <w:sz w:val="22"/>
              </w:rPr>
              <w:t>−0.6%</w:t>
            </w:r>
          </w:p>
        </w:tc>
      </w:tr>
      <w:tr>
        <w:tc>
          <w:tcPr>
            <w:tcW w:type="dxa" w:w="1234"/>
          </w:tcPr>
          <w:p>
            <w:r>
              <w:rPr>
                <w:rFonts w:ascii="Calibri" w:hAnsi="Calibri"/>
                <w:sz w:val="22"/>
              </w:rPr>
              <w:t>Net Revenue ($B)</w:t>
            </w:r>
          </w:p>
        </w:tc>
        <w:tc>
          <w:tcPr>
            <w:tcW w:type="dxa" w:w="1234"/>
          </w:tcPr>
          <w:p>
            <w:r>
              <w:rPr>
                <w:rFonts w:ascii="Calibri" w:hAnsi="Calibri"/>
                <w:sz w:val="22"/>
              </w:rPr>
              <w:t>$5.97B</w:t>
            </w:r>
          </w:p>
        </w:tc>
        <w:tc>
          <w:tcPr>
            <w:tcW w:type="dxa" w:w="1234"/>
          </w:tcPr>
          <w:p>
            <w:r>
              <w:rPr>
                <w:rFonts w:ascii="Calibri" w:hAnsi="Calibri"/>
                <w:sz w:val="22"/>
              </w:rPr>
              <w:t>$6.77B</w:t>
            </w:r>
          </w:p>
        </w:tc>
        <w:tc>
          <w:tcPr>
            <w:tcW w:type="dxa" w:w="1234"/>
          </w:tcPr>
          <w:p>
            <w:r>
              <w:rPr>
                <w:rFonts w:ascii="Calibri" w:hAnsi="Calibri"/>
                <w:sz w:val="22"/>
              </w:rPr>
              <w:t>$6.21B</w:t>
            </w:r>
          </w:p>
        </w:tc>
        <w:tc>
          <w:tcPr>
            <w:tcW w:type="dxa" w:w="1234"/>
          </w:tcPr>
          <w:p>
            <w:r>
              <w:rPr>
                <w:rFonts w:ascii="Calibri" w:hAnsi="Calibri"/>
                <w:sz w:val="22"/>
              </w:rPr>
              <w:t>−8.3%</w:t>
            </w:r>
          </w:p>
        </w:tc>
        <w:tc>
          <w:tcPr>
            <w:tcW w:type="dxa" w:w="1234"/>
          </w:tcPr>
          <w:p>
            <w:r>
              <w:rPr>
                <w:rFonts w:ascii="Calibri" w:hAnsi="Calibri"/>
                <w:sz w:val="22"/>
              </w:rPr>
              <w:t>N/A — not provided</w:t>
            </w:r>
          </w:p>
        </w:tc>
        <w:tc>
          <w:tcPr>
            <w:tcW w:type="dxa" w:w="1234"/>
          </w:tcPr>
          <w:p>
            <w:r>
              <w:rPr>
                <w:rFonts w:ascii="Calibri" w:hAnsi="Calibri"/>
                <w:sz w:val="22"/>
              </w:rPr>
              <w:t>N/A</w:t>
            </w:r>
          </w:p>
        </w:tc>
      </w:tr>
      <w:tr>
        <w:tc>
          <w:tcPr>
            <w:tcW w:type="dxa" w:w="1234"/>
          </w:tcPr>
          <w:p>
            <w:r>
              <w:rPr>
                <w:rFonts w:ascii="Calibri" w:hAnsi="Calibri"/>
                <w:sz w:val="22"/>
              </w:rPr>
              <w:t>EPS — Diluted Operating ($/sh)</w:t>
            </w:r>
          </w:p>
        </w:tc>
        <w:tc>
          <w:tcPr>
            <w:tcW w:type="dxa" w:w="1234"/>
          </w:tcPr>
          <w:p>
            <w:r>
              <w:rPr>
                <w:rFonts w:ascii="Calibri" w:hAnsi="Calibri"/>
                <w:sz w:val="22"/>
              </w:rPr>
              <w:t>$0.15</w:t>
            </w:r>
          </w:p>
        </w:tc>
        <w:tc>
          <w:tcPr>
            <w:tcW w:type="dxa" w:w="1234"/>
          </w:tcPr>
          <w:p>
            <w:r>
              <w:rPr>
                <w:rFonts w:ascii="Calibri" w:hAnsi="Calibri"/>
                <w:sz w:val="22"/>
              </w:rPr>
              <w:t>$0.20</w:t>
            </w:r>
          </w:p>
        </w:tc>
        <w:tc>
          <w:tcPr>
            <w:tcW w:type="dxa" w:w="1234"/>
          </w:tcPr>
          <w:p>
            <w:r>
              <w:rPr>
                <w:rFonts w:ascii="Calibri" w:hAnsi="Calibri"/>
                <w:sz w:val="22"/>
              </w:rPr>
              <w:t>–$0.03</w:t>
            </w:r>
          </w:p>
        </w:tc>
        <w:tc>
          <w:tcPr>
            <w:tcW w:type="dxa" w:w="1234"/>
          </w:tcPr>
          <w:p>
            <w:r>
              <w:rPr>
                <w:rFonts w:ascii="Calibri" w:hAnsi="Calibri"/>
                <w:sz w:val="22"/>
              </w:rPr>
              <w:t>NM</w:t>
            </w:r>
          </w:p>
        </w:tc>
        <w:tc>
          <w:tcPr>
            <w:tcW w:type="dxa" w:w="1234"/>
          </w:tcPr>
          <w:p>
            <w:r>
              <w:rPr>
                <w:rFonts w:ascii="Calibri" w:hAnsi="Calibri"/>
                <w:sz w:val="22"/>
              </w:rPr>
              <w:t>N/A — not provided</w:t>
            </w:r>
          </w:p>
        </w:tc>
        <w:tc>
          <w:tcPr>
            <w:tcW w:type="dxa" w:w="1234"/>
          </w:tcPr>
          <w:p>
            <w:r>
              <w:rPr>
                <w:rFonts w:ascii="Calibri" w:hAnsi="Calibri"/>
                <w:sz w:val="22"/>
              </w:rPr>
              <w:t>N/A</w:t>
            </w:r>
          </w:p>
        </w:tc>
      </w:tr>
      <w:tr>
        <w:tc>
          <w:tcPr>
            <w:tcW w:type="dxa" w:w="1234"/>
          </w:tcPr>
          <w:p>
            <w:r>
              <w:rPr>
                <w:rFonts w:ascii="Calibri" w:hAnsi="Calibri"/>
                <w:sz w:val="22"/>
              </w:rPr>
              <w:t>NA Packaging Volume (Kshort ton)</w:t>
            </w:r>
          </w:p>
        </w:tc>
        <w:tc>
          <w:tcPr>
            <w:tcW w:type="dxa" w:w="1234"/>
          </w:tcPr>
          <w:p>
            <w:r>
              <w:rPr>
                <w:rFonts w:ascii="Calibri" w:hAnsi="Calibri"/>
                <w:sz w:val="22"/>
              </w:rPr>
              <w:t>3,301</w:t>
            </w:r>
          </w:p>
        </w:tc>
        <w:tc>
          <w:tcPr>
            <w:tcW w:type="dxa" w:w="1234"/>
          </w:tcPr>
          <w:p>
            <w:r>
              <w:rPr>
                <w:rFonts w:ascii="Calibri" w:hAnsi="Calibri"/>
                <w:sz w:val="22"/>
              </w:rPr>
              <w:t>3,613</w:t>
            </w:r>
          </w:p>
        </w:tc>
        <w:tc>
          <w:tcPr>
            <w:tcW w:type="dxa" w:w="1234"/>
          </w:tcPr>
          <w:p>
            <w:r>
              <w:rPr>
                <w:rFonts w:ascii="Calibri" w:hAnsi="Calibri"/>
                <w:sz w:val="22"/>
              </w:rPr>
              <w:t>3,471</w:t>
            </w:r>
          </w:p>
        </w:tc>
        <w:tc>
          <w:tcPr>
            <w:tcW w:type="dxa" w:w="1234"/>
          </w:tcPr>
          <w:p>
            <w:r>
              <w:rPr>
                <w:rFonts w:ascii="Calibri" w:hAnsi="Calibri"/>
                <w:sz w:val="22"/>
              </w:rPr>
              <w:t>−3.9%</w:t>
            </w:r>
          </w:p>
        </w:tc>
        <w:tc>
          <w:tcPr>
            <w:tcW w:type="dxa" w:w="1234"/>
          </w:tcPr>
          <w:p>
            <w:r>
              <w:rPr>
                <w:rFonts w:ascii="Calibri" w:hAnsi="Calibri"/>
                <w:sz w:val="22"/>
              </w:rPr>
              <w:t>~+3% YoY (mgmt commentary)</w:t>
            </w:r>
          </w:p>
        </w:tc>
        <w:tc>
          <w:tcPr>
            <w:tcW w:type="dxa" w:w="1234"/>
          </w:tcPr>
          <w:p>
            <w:r>
              <w:rPr>
                <w:rFonts w:ascii="Calibri" w:hAnsi="Calibri"/>
                <w:sz w:val="22"/>
              </w:rPr>
              <w:t>N/A</w:t>
            </w:r>
          </w:p>
        </w:tc>
      </w:tr>
      <w:tr>
        <w:tc>
          <w:tcPr>
            <w:tcW w:type="dxa" w:w="1234"/>
          </w:tcPr>
          <w:p>
            <w:r>
              <w:rPr>
                <w:rFonts w:ascii="Calibri" w:hAnsi="Calibri"/>
                <w:sz w:val="22"/>
              </w:rPr>
              <w:t>EMEA Packaging Volume (Kshort ton)</w:t>
            </w:r>
          </w:p>
        </w:tc>
        <w:tc>
          <w:tcPr>
            <w:tcW w:type="dxa" w:w="1234"/>
          </w:tcPr>
          <w:p>
            <w:r>
              <w:rPr>
                <w:rFonts w:ascii="Calibri" w:hAnsi="Calibri"/>
                <w:sz w:val="22"/>
              </w:rPr>
              <w:t>1,799</w:t>
            </w:r>
          </w:p>
        </w:tc>
        <w:tc>
          <w:tcPr>
            <w:tcW w:type="dxa" w:w="1234"/>
          </w:tcPr>
          <w:p>
            <w:r>
              <w:rPr>
                <w:rFonts w:ascii="Calibri" w:hAnsi="Calibri"/>
                <w:sz w:val="22"/>
              </w:rPr>
              <w:t>1,837</w:t>
            </w:r>
          </w:p>
        </w:tc>
        <w:tc>
          <w:tcPr>
            <w:tcW w:type="dxa" w:w="1234"/>
          </w:tcPr>
          <w:p>
            <w:r>
              <w:rPr>
                <w:rFonts w:ascii="Calibri" w:hAnsi="Calibri"/>
                <w:sz w:val="22"/>
              </w:rPr>
              <w:t>1,856</w:t>
            </w:r>
          </w:p>
        </w:tc>
        <w:tc>
          <w:tcPr>
            <w:tcW w:type="dxa" w:w="1234"/>
          </w:tcPr>
          <w:p>
            <w:r>
              <w:rPr>
                <w:rFonts w:ascii="Calibri" w:hAnsi="Calibri"/>
                <w:sz w:val="22"/>
              </w:rPr>
              <w:t>+1.0%</w:t>
            </w:r>
          </w:p>
        </w:tc>
        <w:tc>
          <w:tcPr>
            <w:tcW w:type="dxa" w:w="1234"/>
          </w:tcPr>
          <w:p>
            <w:r>
              <w:rPr>
                <w:rFonts w:ascii="Calibri" w:hAnsi="Calibri"/>
                <w:sz w:val="22"/>
              </w:rPr>
              <w:t>Favorable sequentially</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$94M</w:t>
            </w:r>
          </w:p>
        </w:tc>
        <w:tc>
          <w:tcPr>
            <w:tcW w:type="dxa" w:w="1234"/>
          </w:tcPr>
          <w:p>
            <w:r>
              <w:rPr>
                <w:rFonts w:ascii="Calibri" w:hAnsi="Calibri"/>
                <w:sz w:val="22"/>
              </w:rPr>
              <w:t>$54M</w:t>
            </w:r>
          </w:p>
        </w:tc>
        <w:tc>
          <w:tcPr>
            <w:tcW w:type="dxa" w:w="1234"/>
          </w:tcPr>
          <w:p>
            <w:r>
              <w:rPr>
                <w:rFonts w:ascii="Calibri" w:hAnsi="Calibri"/>
                <w:sz w:val="22"/>
              </w:rPr>
              <w:t>$557M</w:t>
            </w:r>
          </w:p>
        </w:tc>
        <w:tc>
          <w:tcPr>
            <w:tcW w:type="dxa" w:w="1234"/>
          </w:tcPr>
          <w:p>
            <w:r>
              <w:rPr>
                <w:rFonts w:ascii="Calibri" w:hAnsi="Calibri"/>
                <w:sz w:val="22"/>
              </w:rPr>
              <w:t>NM</w:t>
            </w:r>
          </w:p>
        </w:tc>
        <w:tc>
          <w:tcPr>
            <w:tcW w:type="dxa" w:w="1234"/>
          </w:tcPr>
          <w:p>
            <w:r>
              <w:rPr>
                <w:rFonts w:ascii="Calibri" w:hAnsi="Calibri"/>
                <w:sz w:val="22"/>
              </w:rPr>
              <w:t>$300–$500M (FY 2026)</w:t>
            </w:r>
          </w:p>
        </w:tc>
        <w:tc>
          <w:tcPr>
            <w:tcW w:type="dxa" w:w="1234"/>
          </w:tcPr>
          <w:p>
            <w:r>
              <w:rPr>
                <w:rFonts w:ascii="Calibri" w:hAnsi="Calibri"/>
                <w:sz w:val="22"/>
              </w:rPr>
              <w:t>N/A (FY guidance)</w:t>
            </w:r>
          </w:p>
        </w:tc>
      </w:tr>
    </w:tbl>
    <w:p>
      <w:r>
        <w:rPr>
          <w:rFonts w:ascii="Calibri" w:hAnsi="Calibri"/>
          <w:i/>
          <w:color w:val="525866"/>
          <w:sz w:val="22"/>
        </w:rPr>
        <w:t>Source: Visible Alpha consensus and actuals. Enterprise EBITDA consensus $539M vs. management pre-announced midpoint of $545M (−1.1% gap). NA EBITDA consensus $398M vs. guidance midpoint $395M (+0.8%). EMEA consensus $159M vs. guidance midpoint $160M (−0.6%). FCF Q2 consensus of $557M appears elevated vs. the FY guidance of $300–$500M and likely reflects timing/modeling differences; FY FCF consensus of $344M is more consistent with guidance.</w:t>
      </w:r>
    </w:p>
    <w:p>
      <w:pPr>
        <w:pStyle w:val="Heading3"/>
      </w:pPr>
      <w:r>
        <w:rPr>
          <w:rFonts w:ascii="Calibri" w:hAnsi="Calibri"/>
          <w:b/>
          <w:color w:val="3B4259"/>
          <w:sz w:val="24"/>
        </w:rPr>
        <w:t>Table 2 — Beat/Miss History (Last 8 Quarters) — Top 2 KPIs: Enterprise Adj. EBITDA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$677M</w:t>
            </w:r>
          </w:p>
        </w:tc>
        <w:tc>
          <w:tcPr>
            <w:tcW w:type="dxa" w:w="1440"/>
          </w:tcPr>
          <w:p>
            <w:r>
              <w:rPr>
                <w:rFonts w:ascii="Calibri" w:hAnsi="Calibri"/>
                <w:sz w:val="22"/>
              </w:rPr>
              <w:t>$706M</w:t>
            </w:r>
          </w:p>
        </w:tc>
        <w:tc>
          <w:tcPr>
            <w:tcW w:type="dxa" w:w="1440"/>
          </w:tcPr>
          <w:p>
            <w:r>
              <w:rPr>
                <w:rFonts w:ascii="Calibri" w:hAnsi="Calibri"/>
                <w:b/>
                <w:color w:val="E5484D"/>
                <w:sz w:val="22"/>
              </w:rPr>
              <w:t>−4.1%</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$0.15</w:t>
            </w:r>
          </w:p>
        </w:tc>
        <w:tc>
          <w:tcPr>
            <w:tcW w:type="dxa" w:w="1440"/>
          </w:tcPr>
          <w:p>
            <w:r>
              <w:rPr>
                <w:rFonts w:ascii="Calibri" w:hAnsi="Calibri"/>
                <w:sz w:val="22"/>
              </w:rPr>
              <w:t>$0.15</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$758M</w:t>
            </w:r>
          </w:p>
        </w:tc>
        <w:tc>
          <w:tcPr>
            <w:tcW w:type="dxa" w:w="1440"/>
          </w:tcPr>
          <w:p>
            <w:r>
              <w:rPr>
                <w:rFonts w:ascii="Calibri" w:hAnsi="Calibri"/>
                <w:sz w:val="22"/>
              </w:rPr>
              <w:t>$776M</w:t>
            </w:r>
          </w:p>
        </w:tc>
        <w:tc>
          <w:tcPr>
            <w:tcW w:type="dxa" w:w="1440"/>
          </w:tcPr>
          <w:p>
            <w:r>
              <w:rPr>
                <w:rFonts w:ascii="Calibri" w:hAnsi="Calibri"/>
                <w:b/>
                <w:color w:val="E5484D"/>
                <w:sz w:val="22"/>
              </w:rPr>
              <w:t>−2.3%</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–$0.08</w:t>
            </w:r>
          </w:p>
        </w:tc>
        <w:tc>
          <w:tcPr>
            <w:tcW w:type="dxa" w:w="1440"/>
          </w:tcPr>
          <w:p>
            <w:r>
              <w:rPr>
                <w:rFonts w:ascii="Calibri" w:hAnsi="Calibri"/>
                <w:sz w:val="22"/>
              </w:rPr>
              <w:t>$0.26</w:t>
            </w:r>
          </w:p>
        </w:tc>
        <w:tc>
          <w:tcPr>
            <w:tcW w:type="dxa" w:w="1440"/>
          </w:tcPr>
          <w:p>
            <w:r>
              <w:rPr>
                <w:rFonts w:ascii="Calibri" w:hAnsi="Calibri"/>
                <w:b/>
                <w:color w:val="E5484D"/>
                <w:sz w:val="22"/>
              </w:rPr>
              <w:t>NM</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$859M</w:t>
            </w:r>
          </w:p>
        </w:tc>
        <w:tc>
          <w:tcPr>
            <w:tcW w:type="dxa" w:w="1440"/>
          </w:tcPr>
          <w:p>
            <w:r>
              <w:rPr>
                <w:rFonts w:ascii="Calibri" w:hAnsi="Calibri"/>
                <w:sz w:val="22"/>
              </w:rPr>
              <w:t>$933M</w:t>
            </w:r>
          </w:p>
        </w:tc>
        <w:tc>
          <w:tcPr>
            <w:tcW w:type="dxa" w:w="1440"/>
          </w:tcPr>
          <w:p>
            <w:r>
              <w:rPr>
                <w:rFonts w:ascii="Calibri" w:hAnsi="Calibri"/>
                <w:b/>
                <w:color w:val="E5484D"/>
                <w:sz w:val="22"/>
              </w:rPr>
              <w:t>−7.9%</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–$0.43</w:t>
            </w:r>
          </w:p>
        </w:tc>
        <w:tc>
          <w:tcPr>
            <w:tcW w:type="dxa" w:w="1440"/>
          </w:tcPr>
          <w:p>
            <w:r>
              <w:rPr>
                <w:rFonts w:ascii="Calibri" w:hAnsi="Calibri"/>
                <w:sz w:val="22"/>
              </w:rPr>
              <w:t>$0.46</w:t>
            </w:r>
          </w:p>
        </w:tc>
        <w:tc>
          <w:tcPr>
            <w:tcW w:type="dxa" w:w="1440"/>
          </w:tcPr>
          <w:p>
            <w:r>
              <w:rPr>
                <w:rFonts w:ascii="Calibri" w:hAnsi="Calibri"/>
                <w:b/>
                <w:color w:val="E5484D"/>
                <w:sz w:val="22"/>
              </w:rPr>
              <w:t>NM</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$733M</w:t>
            </w:r>
          </w:p>
        </w:tc>
        <w:tc>
          <w:tcPr>
            <w:tcW w:type="dxa" w:w="1440"/>
          </w:tcPr>
          <w:p>
            <w:r>
              <w:rPr>
                <w:rFonts w:ascii="Calibri" w:hAnsi="Calibri"/>
                <w:sz w:val="22"/>
              </w:rPr>
              <w:t>$777M</w:t>
            </w:r>
          </w:p>
        </w:tc>
        <w:tc>
          <w:tcPr>
            <w:tcW w:type="dxa" w:w="1440"/>
          </w:tcPr>
          <w:p>
            <w:r>
              <w:rPr>
                <w:rFonts w:ascii="Calibri" w:hAnsi="Calibri"/>
                <w:b/>
                <w:color w:val="E5484D"/>
                <w:sz w:val="22"/>
              </w:rPr>
              <w:t>−5.7%</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$0.20</w:t>
            </w:r>
          </w:p>
        </w:tc>
        <w:tc>
          <w:tcPr>
            <w:tcW w:type="dxa" w:w="1440"/>
          </w:tcPr>
          <w:p>
            <w:r>
              <w:rPr>
                <w:rFonts w:ascii="Calibri" w:hAnsi="Calibri"/>
                <w:sz w:val="22"/>
              </w:rPr>
              <w:t>$0.39</w:t>
            </w:r>
          </w:p>
        </w:tc>
        <w:tc>
          <w:tcPr>
            <w:tcW w:type="dxa" w:w="1440"/>
          </w:tcPr>
          <w:p>
            <w:r>
              <w:rPr>
                <w:rFonts w:ascii="Calibri" w:hAnsi="Calibri"/>
                <w:b/>
                <w:color w:val="E5484D"/>
                <w:sz w:val="22"/>
              </w:rPr>
              <w:t>−48.7%</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$769M</w:t>
            </w:r>
          </w:p>
        </w:tc>
        <w:tc>
          <w:tcPr>
            <w:tcW w:type="dxa" w:w="1440"/>
          </w:tcPr>
          <w:p>
            <w:r>
              <w:rPr>
                <w:rFonts w:ascii="Calibri" w:hAnsi="Calibri"/>
                <w:sz w:val="22"/>
              </w:rPr>
              <w:t>$680M</w:t>
            </w:r>
          </w:p>
        </w:tc>
        <w:tc>
          <w:tcPr>
            <w:tcW w:type="dxa" w:w="1440"/>
          </w:tcPr>
          <w:p>
            <w:r>
              <w:rPr>
                <w:rFonts w:ascii="Calibri" w:hAnsi="Calibri"/>
                <w:b/>
                <w:color w:val="30A46C"/>
                <w:sz w:val="22"/>
              </w:rPr>
              <w:t>+13.1%</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$0.23</w:t>
            </w:r>
          </w:p>
        </w:tc>
        <w:tc>
          <w:tcPr>
            <w:tcW w:type="dxa" w:w="1440"/>
          </w:tcPr>
          <w:p>
            <w:r>
              <w:rPr>
                <w:rFonts w:ascii="Calibri" w:hAnsi="Calibri"/>
                <w:sz w:val="22"/>
              </w:rPr>
              <w:t>$0.38</w:t>
            </w:r>
          </w:p>
        </w:tc>
        <w:tc>
          <w:tcPr>
            <w:tcW w:type="dxa" w:w="1440"/>
          </w:tcPr>
          <w:p>
            <w:r>
              <w:rPr>
                <w:rFonts w:ascii="Calibri" w:hAnsi="Calibri"/>
                <w:b/>
                <w:color w:val="E5484D"/>
                <w:sz w:val="22"/>
              </w:rPr>
              <w:t>−39.5%</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$505M</w:t>
            </w:r>
          </w:p>
        </w:tc>
        <w:tc>
          <w:tcPr>
            <w:tcW w:type="dxa" w:w="1440"/>
          </w:tcPr>
          <w:p>
            <w:r>
              <w:rPr>
                <w:rFonts w:ascii="Calibri" w:hAnsi="Calibri"/>
                <w:sz w:val="22"/>
              </w:rPr>
              <w:t>$533M</w:t>
            </w:r>
          </w:p>
        </w:tc>
        <w:tc>
          <w:tcPr>
            <w:tcW w:type="dxa" w:w="1440"/>
          </w:tcPr>
          <w:p>
            <w:r>
              <w:rPr>
                <w:rFonts w:ascii="Calibri" w:hAnsi="Calibri"/>
                <w:b/>
                <w:color w:val="E5484D"/>
                <w:sz w:val="22"/>
              </w:rPr>
              <w:t>−5.3%</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–$0.02</w:t>
            </w:r>
          </w:p>
        </w:tc>
        <w:tc>
          <w:tcPr>
            <w:tcW w:type="dxa" w:w="1440"/>
          </w:tcPr>
          <w:p>
            <w:r>
              <w:rPr>
                <w:rFonts w:ascii="Calibri" w:hAnsi="Calibri"/>
                <w:sz w:val="22"/>
              </w:rPr>
              <w:t>$0.00</w:t>
            </w:r>
          </w:p>
        </w:tc>
        <w:tc>
          <w:tcPr>
            <w:tcW w:type="dxa" w:w="1440"/>
          </w:tcPr>
          <w:p>
            <w:r>
              <w:rPr>
                <w:rFonts w:ascii="Calibri" w:hAnsi="Calibri"/>
                <w:sz w:val="22"/>
              </w:rPr>
              <w:t>NM</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$500M</w:t>
            </w:r>
          </w:p>
        </w:tc>
        <w:tc>
          <w:tcPr>
            <w:tcW w:type="dxa" w:w="1440"/>
          </w:tcPr>
          <w:p>
            <w:r>
              <w:rPr>
                <w:rFonts w:ascii="Calibri" w:hAnsi="Calibri"/>
                <w:sz w:val="22"/>
              </w:rPr>
              <w:t>$429M</w:t>
            </w:r>
          </w:p>
        </w:tc>
        <w:tc>
          <w:tcPr>
            <w:tcW w:type="dxa" w:w="1440"/>
          </w:tcPr>
          <w:p>
            <w:r>
              <w:rPr>
                <w:rFonts w:ascii="Calibri" w:hAnsi="Calibri"/>
                <w:b/>
                <w:color w:val="30A46C"/>
                <w:sz w:val="22"/>
              </w:rPr>
              <w:t>+16.5%</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$0.44</w:t>
            </w:r>
          </w:p>
        </w:tc>
        <w:tc>
          <w:tcPr>
            <w:tcW w:type="dxa" w:w="1440"/>
          </w:tcPr>
          <w:p>
            <w:r>
              <w:rPr>
                <w:rFonts w:ascii="Calibri" w:hAnsi="Calibri"/>
                <w:sz w:val="22"/>
              </w:rPr>
              <w:t>$0.25</w:t>
            </w:r>
          </w:p>
        </w:tc>
        <w:tc>
          <w:tcPr>
            <w:tcW w:type="dxa" w:w="1440"/>
          </w:tcPr>
          <w:p>
            <w:r>
              <w:rPr>
                <w:rFonts w:ascii="Calibri" w:hAnsi="Calibri"/>
                <w:b/>
                <w:color w:val="30A46C"/>
                <w:sz w:val="22"/>
              </w:rPr>
              <w:t>+76.0%</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Adj. EBITDA</w:t>
            </w:r>
          </w:p>
        </w:tc>
        <w:tc>
          <w:tcPr>
            <w:tcW w:type="dxa" w:w="1440"/>
          </w:tcPr>
          <w:p>
            <w:r>
              <w:rPr>
                <w:rFonts w:ascii="Calibri" w:hAnsi="Calibri"/>
                <w:sz w:val="22"/>
              </w:rPr>
              <w:t>$561M</w:t>
            </w:r>
          </w:p>
        </w:tc>
        <w:tc>
          <w:tcPr>
            <w:tcW w:type="dxa" w:w="1440"/>
          </w:tcPr>
          <w:p>
            <w:r>
              <w:rPr>
                <w:rFonts w:ascii="Calibri" w:hAnsi="Calibri"/>
                <w:sz w:val="22"/>
              </w:rPr>
              <w:t>$522M</w:t>
            </w:r>
          </w:p>
        </w:tc>
        <w:tc>
          <w:tcPr>
            <w:tcW w:type="dxa" w:w="1440"/>
          </w:tcPr>
          <w:p>
            <w:r>
              <w:rPr>
                <w:rFonts w:ascii="Calibri" w:hAnsi="Calibri"/>
                <w:b/>
                <w:color w:val="30A46C"/>
                <w:sz w:val="22"/>
              </w:rPr>
              <w:t>+7.5%</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Op. EPS</w:t>
            </w:r>
          </w:p>
        </w:tc>
        <w:tc>
          <w:tcPr>
            <w:tcW w:type="dxa" w:w="1440"/>
          </w:tcPr>
          <w:p>
            <w:r>
              <w:rPr>
                <w:rFonts w:ascii="Calibri" w:hAnsi="Calibri"/>
                <w:sz w:val="22"/>
              </w:rPr>
              <w:t>$0.55</w:t>
            </w:r>
          </w:p>
        </w:tc>
        <w:tc>
          <w:tcPr>
            <w:tcW w:type="dxa" w:w="1440"/>
          </w:tcPr>
          <w:p>
            <w:r>
              <w:rPr>
                <w:rFonts w:ascii="Calibri" w:hAnsi="Calibri"/>
                <w:sz w:val="22"/>
              </w:rPr>
              <w:t>$0.42</w:t>
            </w:r>
          </w:p>
        </w:tc>
        <w:tc>
          <w:tcPr>
            <w:tcW w:type="dxa" w:w="1440"/>
          </w:tcPr>
          <w:p>
            <w:r>
              <w:rPr>
                <w:rFonts w:ascii="Calibri" w:hAnsi="Calibri"/>
                <w:b/>
                <w:color w:val="30A46C"/>
                <w:sz w:val="22"/>
              </w:rPr>
              <w:t>+30.9%</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IP has missed EBITDA consensus in 5 of the last 8 quarters (and EPS in 6 of 8), with misses concentrated in the post-DS Smith integration period (Q2 2025 through Q1 2026) as transformation costs and macro headwinds repeatedly exceeded expectations; the Q2 2026 pre-announcement effectively eliminates the downside surprise risk on the headline number, making the H2 guidance commentary the key market-moving variable at this print.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cut full-year 2026 enterprise EBITDA guidance by ~$300M at the Q1 print (April 30) and subsequently pre-announced Q2 EBITDA of $520–$570M on July 17 — no further formal guidance changes since then; tone has shifted from frustration over execution gaps to cautious optimism around H2 pricing recovery and cost-out execution.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Enterprise Adj. EBITDA</w:t>
            </w:r>
          </w:p>
        </w:tc>
        <w:tc>
          <w:tcPr>
            <w:tcW w:type="dxa" w:w="1728"/>
          </w:tcPr>
          <w:p>
            <w:r>
              <w:rPr>
                <w:rFonts w:ascii="Calibri" w:hAnsi="Calibri"/>
                <w:sz w:val="22"/>
              </w:rPr>
              <w:t>$520–$570M (mid: $545M)</w:t>
            </w:r>
          </w:p>
        </w:tc>
        <w:tc>
          <w:tcPr>
            <w:tcW w:type="dxa" w:w="1728"/>
          </w:tcPr>
          <w:p>
            <w:r>
              <w:rPr>
                <w:rFonts w:ascii="Calibri" w:hAnsi="Calibri"/>
                <w:sz w:val="22"/>
              </w:rPr>
              <w:t>Reaffirmed Jul 17 pre-announcement</w:t>
            </w:r>
          </w:p>
        </w:tc>
        <w:tc>
          <w:tcPr>
            <w:tcW w:type="dxa" w:w="1728"/>
          </w:tcPr>
          <w:p>
            <w:r>
              <w:rPr>
                <w:rFonts w:ascii="Calibri" w:hAnsi="Calibri"/>
                <w:sz w:val="22"/>
              </w:rPr>
              <w:t>~$539M</w:t>
            </w:r>
          </w:p>
        </w:tc>
        <w:tc>
          <w:tcPr>
            <w:tcW w:type="dxa" w:w="1728"/>
          </w:tcPr>
          <w:p>
            <w:r>
              <w:rPr>
                <w:rFonts w:ascii="Calibri" w:hAnsi="Calibri"/>
                <w:sz w:val="22"/>
              </w:rPr>
              <w:t>Pre-announced Jul 17 via press release; preliminary/unaudited; midpoint $545M is ~1% above consensus</w:t>
            </w:r>
          </w:p>
        </w:tc>
      </w:tr>
      <w:tr>
        <w:tc>
          <w:tcPr>
            <w:tcW w:type="dxa" w:w="1728"/>
          </w:tcPr>
          <w:p>
            <w:r>
              <w:rPr>
                <w:rFonts w:ascii="Calibri" w:hAnsi="Calibri"/>
                <w:sz w:val="22"/>
              </w:rPr>
              <w:t>Q2 2026 NA Packaging Adj. EBITDA</w:t>
            </w:r>
          </w:p>
        </w:tc>
        <w:tc>
          <w:tcPr>
            <w:tcW w:type="dxa" w:w="1728"/>
          </w:tcPr>
          <w:p>
            <w:r>
              <w:rPr>
                <w:rFonts w:ascii="Calibri" w:hAnsi="Calibri"/>
                <w:sz w:val="22"/>
              </w:rPr>
              <w:t>$380–$410M (mid: $395M)</w:t>
            </w:r>
          </w:p>
        </w:tc>
        <w:tc>
          <w:tcPr>
            <w:tcW w:type="dxa" w:w="1728"/>
          </w:tcPr>
          <w:p>
            <w:r>
              <w:rPr>
                <w:rFonts w:ascii="Calibri" w:hAnsi="Calibri"/>
                <w:sz w:val="22"/>
              </w:rPr>
              <w:t>—</w:t>
            </w:r>
          </w:p>
        </w:tc>
        <w:tc>
          <w:tcPr>
            <w:tcW w:type="dxa" w:w="1728"/>
          </w:tcPr>
          <w:p>
            <w:r>
              <w:rPr>
                <w:rFonts w:ascii="Calibri" w:hAnsi="Calibri"/>
                <w:sz w:val="22"/>
              </w:rPr>
              <w:t>~$398M</w:t>
            </w:r>
          </w:p>
        </w:tc>
        <w:tc>
          <w:tcPr>
            <w:tcW w:type="dxa" w:w="1728"/>
          </w:tcPr>
          <w:p>
            <w:r>
              <w:rPr>
                <w:rFonts w:ascii="Calibri" w:hAnsi="Calibri"/>
                <w:sz w:val="22"/>
              </w:rPr>
              <w:t>Consensus in-line with guidance midpoint; heavy outage schedule (2x normal) and Riverdale conversion are key headwinds</w:t>
            </w:r>
          </w:p>
        </w:tc>
      </w:tr>
      <w:tr>
        <w:tc>
          <w:tcPr>
            <w:tcW w:type="dxa" w:w="1728"/>
          </w:tcPr>
          <w:p>
            <w:r>
              <w:rPr>
                <w:rFonts w:ascii="Calibri" w:hAnsi="Calibri"/>
                <w:sz w:val="22"/>
              </w:rPr>
              <w:t>Q2 2026 EMEA Packaging Adj. EBITDA</w:t>
            </w:r>
          </w:p>
        </w:tc>
        <w:tc>
          <w:tcPr>
            <w:tcW w:type="dxa" w:w="1728"/>
          </w:tcPr>
          <w:p>
            <w:r>
              <w:rPr>
                <w:rFonts w:ascii="Calibri" w:hAnsi="Calibri"/>
                <w:sz w:val="22"/>
              </w:rPr>
              <w:t>$150–$170M (mid: $160M)</w:t>
            </w:r>
          </w:p>
        </w:tc>
        <w:tc>
          <w:tcPr>
            <w:tcW w:type="dxa" w:w="1728"/>
          </w:tcPr>
          <w:p>
            <w:r>
              <w:rPr>
                <w:rFonts w:ascii="Calibri" w:hAnsi="Calibri"/>
                <w:sz w:val="22"/>
              </w:rPr>
              <w:t>—</w:t>
            </w:r>
          </w:p>
        </w:tc>
        <w:tc>
          <w:tcPr>
            <w:tcW w:type="dxa" w:w="1728"/>
          </w:tcPr>
          <w:p>
            <w:r>
              <w:rPr>
                <w:rFonts w:ascii="Calibri" w:hAnsi="Calibri"/>
                <w:sz w:val="22"/>
              </w:rPr>
              <w:t>~$159M</w:t>
            </w:r>
          </w:p>
        </w:tc>
        <w:tc>
          <w:tcPr>
            <w:tcW w:type="dxa" w:w="1728"/>
          </w:tcPr>
          <w:p>
            <w:r>
              <w:rPr>
                <w:rFonts w:ascii="Calibri" w:hAnsi="Calibri"/>
                <w:sz w:val="22"/>
              </w:rPr>
              <w:t>Peak margin compression quarter; paper cost increases flowing through ahead of box pricing recovery (3–6 month lag)</w:t>
            </w:r>
          </w:p>
        </w:tc>
      </w:tr>
      <w:tr>
        <w:tc>
          <w:tcPr>
            <w:tcW w:type="dxa" w:w="1728"/>
          </w:tcPr>
          <w:p>
            <w:r>
              <w:rPr>
                <w:rFonts w:ascii="Calibri" w:hAnsi="Calibri"/>
                <w:sz w:val="22"/>
              </w:rPr>
              <w:t>FY 2026 Enterprise Adj. EBITDA</w:t>
            </w:r>
          </w:p>
        </w:tc>
        <w:tc>
          <w:tcPr>
            <w:tcW w:type="dxa" w:w="1728"/>
          </w:tcPr>
          <w:p>
            <w:r>
              <w:rPr>
                <w:rFonts w:ascii="Calibri" w:hAnsi="Calibri"/>
                <w:sz w:val="22"/>
              </w:rPr>
              <w:t>$3.2–$3.5B (cut from $3.5–$3.7B at Q4 2025)</w:t>
            </w:r>
          </w:p>
        </w:tc>
        <w:tc>
          <w:tcPr>
            <w:tcW w:type="dxa" w:w="1728"/>
          </w:tcPr>
          <w:p>
            <w:r>
              <w:rPr>
                <w:rFonts w:ascii="Calibri" w:hAnsi="Calibri"/>
                <w:sz w:val="22"/>
              </w:rPr>
              <w:t>—</w:t>
            </w:r>
          </w:p>
        </w:tc>
        <w:tc>
          <w:tcPr>
            <w:tcW w:type="dxa" w:w="1728"/>
          </w:tcPr>
          <w:p>
            <w:r>
              <w:rPr>
                <w:rFonts w:ascii="Calibri" w:hAnsi="Calibri"/>
                <w:sz w:val="22"/>
              </w:rPr>
              <w:t>~$3.23B</w:t>
            </w:r>
          </w:p>
        </w:tc>
        <w:tc>
          <w:tcPr>
            <w:tcW w:type="dxa" w:w="1728"/>
          </w:tcPr>
          <w:p>
            <w:r>
              <w:rPr>
                <w:rFonts w:ascii="Calibri" w:hAnsi="Calibri"/>
                <w:sz w:val="22"/>
              </w:rPr>
              <w:t>Consensus near low end of range; H2 step-up of ~$650M in NA required to achieve midpoint; macro headwinds (diesel, OCC) are key risk</w:t>
            </w:r>
          </w:p>
        </w:tc>
      </w:tr>
      <w:tr>
        <w:tc>
          <w:tcPr>
            <w:tcW w:type="dxa" w:w="1728"/>
          </w:tcPr>
          <w:p>
            <w:r>
              <w:rPr>
                <w:rFonts w:ascii="Calibri" w:hAnsi="Calibri"/>
                <w:sz w:val="22"/>
              </w:rPr>
              <w:t>FY 2026 NA Packaging Adj. EBITDA</w:t>
            </w:r>
          </w:p>
        </w:tc>
        <w:tc>
          <w:tcPr>
            <w:tcW w:type="dxa" w:w="1728"/>
          </w:tcPr>
          <w:p>
            <w:r>
              <w:rPr>
                <w:rFonts w:ascii="Calibri" w:hAnsi="Calibri"/>
                <w:sz w:val="22"/>
              </w:rPr>
              <w:t>$2.35–$2.5B (cut from $2.5–$2.6B)</w:t>
            </w:r>
          </w:p>
        </w:tc>
        <w:tc>
          <w:tcPr>
            <w:tcW w:type="dxa" w:w="1728"/>
          </w:tcPr>
          <w:p>
            <w:r>
              <w:rPr>
                <w:rFonts w:ascii="Calibri" w:hAnsi="Calibri"/>
                <w:sz w:val="22"/>
              </w:rPr>
              <w:t>—</w:t>
            </w:r>
          </w:p>
        </w:tc>
        <w:tc>
          <w:tcPr>
            <w:tcW w:type="dxa" w:w="1728"/>
          </w:tcPr>
          <w:p>
            <w:r>
              <w:rPr>
                <w:rFonts w:ascii="Calibri" w:hAnsi="Calibri"/>
                <w:sz w:val="22"/>
              </w:rPr>
              <w:t>~$2.41B</w:t>
            </w:r>
          </w:p>
        </w:tc>
        <w:tc>
          <w:tcPr>
            <w:tcW w:type="dxa" w:w="1728"/>
          </w:tcPr>
          <w:p>
            <w:r>
              <w:rPr>
                <w:rFonts w:ascii="Calibri" w:hAnsi="Calibri"/>
                <w:sz w:val="22"/>
              </w:rPr>
              <w:t>Consensus near midpoint; $175M pricing tailwind from Feb/Mar/Apr increases expected to flow through in H2</w:t>
            </w:r>
          </w:p>
        </w:tc>
      </w:tr>
      <w:tr>
        <w:tc>
          <w:tcPr>
            <w:tcW w:type="dxa" w:w="1728"/>
          </w:tcPr>
          <w:p>
            <w:r>
              <w:rPr>
                <w:rFonts w:ascii="Calibri" w:hAnsi="Calibri"/>
                <w:sz w:val="22"/>
              </w:rPr>
              <w:t>FY 2026 EMEA Packaging Adj. EBITDA</w:t>
            </w:r>
          </w:p>
        </w:tc>
        <w:tc>
          <w:tcPr>
            <w:tcW w:type="dxa" w:w="1728"/>
          </w:tcPr>
          <w:p>
            <w:r>
              <w:rPr>
                <w:rFonts w:ascii="Calibri" w:hAnsi="Calibri"/>
                <w:sz w:val="22"/>
              </w:rPr>
              <w:t>$900M–$1.0B (cut from $1.0–$1.1B)</w:t>
            </w:r>
          </w:p>
        </w:tc>
        <w:tc>
          <w:tcPr>
            <w:tcW w:type="dxa" w:w="1728"/>
          </w:tcPr>
          <w:p>
            <w:r>
              <w:rPr>
                <w:rFonts w:ascii="Calibri" w:hAnsi="Calibri"/>
                <w:sz w:val="22"/>
              </w:rPr>
              <w:t>—</w:t>
            </w:r>
          </w:p>
        </w:tc>
        <w:tc>
          <w:tcPr>
            <w:tcW w:type="dxa" w:w="1728"/>
          </w:tcPr>
          <w:p>
            <w:r>
              <w:rPr>
                <w:rFonts w:ascii="Calibri" w:hAnsi="Calibri"/>
                <w:sz w:val="22"/>
              </w:rPr>
              <w:t>~$913M</w:t>
            </w:r>
          </w:p>
        </w:tc>
        <w:tc>
          <w:tcPr>
            <w:tcW w:type="dxa" w:w="1728"/>
          </w:tcPr>
          <w:p>
            <w:r>
              <w:rPr>
                <w:rFonts w:ascii="Calibri" w:hAnsi="Calibri"/>
                <w:sz w:val="22"/>
              </w:rPr>
              <w:t>Consensus near low end; H2 EMEA EBITDA guided $540–$620M (vs. ~$360M in H1); energy normalization and margin recovery are key assumptions</w:t>
            </w:r>
          </w:p>
        </w:tc>
      </w:tr>
      <w:tr>
        <w:tc>
          <w:tcPr>
            <w:tcW w:type="dxa" w:w="1728"/>
          </w:tcPr>
          <w:p>
            <w:r>
              <w:rPr>
                <w:rFonts w:ascii="Calibri" w:hAnsi="Calibri"/>
                <w:sz w:val="22"/>
              </w:rPr>
              <w:t>FY 2026 Free Cash Flow</w:t>
            </w:r>
          </w:p>
        </w:tc>
        <w:tc>
          <w:tcPr>
            <w:tcW w:type="dxa" w:w="1728"/>
          </w:tcPr>
          <w:p>
            <w:r>
              <w:rPr>
                <w:rFonts w:ascii="Calibri" w:hAnsi="Calibri"/>
                <w:sz w:val="22"/>
              </w:rPr>
              <w:t>$300–$500M</w:t>
            </w:r>
          </w:p>
        </w:tc>
        <w:tc>
          <w:tcPr>
            <w:tcW w:type="dxa" w:w="1728"/>
          </w:tcPr>
          <w:p>
            <w:r>
              <w:rPr>
                <w:rFonts w:ascii="Calibri" w:hAnsi="Calibri"/>
                <w:sz w:val="22"/>
              </w:rPr>
              <w:t>—</w:t>
            </w:r>
          </w:p>
        </w:tc>
        <w:tc>
          <w:tcPr>
            <w:tcW w:type="dxa" w:w="1728"/>
          </w:tcPr>
          <w:p>
            <w:r>
              <w:rPr>
                <w:rFonts w:ascii="Calibri" w:hAnsi="Calibri"/>
                <w:sz w:val="22"/>
              </w:rPr>
              <w:t>~$344M</w:t>
            </w:r>
          </w:p>
        </w:tc>
        <w:tc>
          <w:tcPr>
            <w:tcW w:type="dxa" w:w="1728"/>
          </w:tcPr>
          <w:p>
            <w:r>
              <w:rPr>
                <w:rFonts w:ascii="Calibri" w:hAnsi="Calibri"/>
                <w:sz w:val="22"/>
              </w:rPr>
              <w:t>Consensus near low end; dividend coverage requires sustained EBITDA improvement; Norpac acquisition adds CapEx</w:t>
            </w:r>
          </w:p>
        </w:tc>
      </w:tr>
      <w:tr>
        <w:tc>
          <w:tcPr>
            <w:tcW w:type="dxa" w:w="1728"/>
          </w:tcPr>
          <w:p>
            <w:r>
              <w:rPr>
                <w:rFonts w:ascii="Calibri" w:hAnsi="Calibri"/>
                <w:sz w:val="22"/>
              </w:rPr>
              <w:t>2027 Enterprise Adj. EBITDA Target</w:t>
            </w:r>
          </w:p>
        </w:tc>
        <w:tc>
          <w:tcPr>
            <w:tcW w:type="dxa" w:w="1728"/>
          </w:tcPr>
          <w:p>
            <w:r>
              <w:rPr>
                <w:rFonts w:ascii="Calibri" w:hAnsi="Calibri"/>
                <w:sz w:val="22"/>
              </w:rPr>
              <w:t>$5.0B (reaffirmed; cut from $5.5–$6.0B at Q4 2025)</w:t>
            </w:r>
          </w:p>
        </w:tc>
        <w:tc>
          <w:tcPr>
            <w:tcW w:type="dxa" w:w="1728"/>
          </w:tcPr>
          <w:p>
            <w:r>
              <w:rPr>
                <w:rFonts w:ascii="Calibri" w:hAnsi="Calibri"/>
                <w:sz w:val="22"/>
              </w:rPr>
              <w:t>—</w:t>
            </w:r>
          </w:p>
        </w:tc>
        <w:tc>
          <w:tcPr>
            <w:tcW w:type="dxa" w:w="1728"/>
          </w:tcPr>
          <w:p>
            <w:r>
              <w:rPr>
                <w:rFonts w:ascii="Calibri" w:hAnsi="Calibri"/>
                <w:sz w:val="22"/>
              </w:rPr>
              <w:t>~$4.21B</w:t>
            </w:r>
          </w:p>
        </w:tc>
        <w:tc>
          <w:tcPr>
            <w:tcW w:type="dxa" w:w="1728"/>
          </w:tcPr>
          <w:p>
            <w:r>
              <w:rPr>
                <w:rFonts w:ascii="Calibri" w:hAnsi="Calibri"/>
                <w:sz w:val="22"/>
              </w:rPr>
              <w:t>Consensus ~$800M below management target; market skeptical on EMEA execution and pricing sustainability; full opportunity realization pushed to 2028</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drifted modestly lower since the Q1 print (EBITDA –$17M, EPS –$0.01) as the pre-announcement anchored the range; FY 2026 EBITDA estimates are essentially flat post-Q1 print, sitting near the low end of guidance, while FY 2027 estimates remain ~$800M below management’s $5B target — the gap represents the market’s skepticism on EMEA execution and pricing durability.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5, 2026 — 5 days post Q1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EBITDA — Enterprise (Q2 2026)</w:t>
            </w:r>
          </w:p>
        </w:tc>
        <w:tc>
          <w:tcPr>
            <w:tcW w:type="dxa" w:w="1080"/>
          </w:tcPr>
          <w:p>
            <w:r>
              <w:rPr>
                <w:rFonts w:ascii="Calibri" w:hAnsi="Calibri"/>
                <w:sz w:val="22"/>
              </w:rPr>
              <w:t>$534M</w:t>
            </w:r>
          </w:p>
        </w:tc>
        <w:tc>
          <w:tcPr>
            <w:tcW w:type="dxa" w:w="1080"/>
          </w:tcPr>
          <w:p>
            <w:r>
              <w:rPr>
                <w:rFonts w:ascii="Calibri" w:hAnsi="Calibri"/>
                <w:sz w:val="22"/>
              </w:rPr>
              <w:t>$539M</w:t>
            </w:r>
          </w:p>
        </w:tc>
        <w:tc>
          <w:tcPr>
            <w:tcW w:type="dxa" w:w="1080"/>
          </w:tcPr>
          <w:p>
            <w:r>
              <w:rPr>
                <w:rFonts w:ascii="Calibri" w:hAnsi="Calibri"/>
                <w:b/>
                <w:color w:val="30A46C"/>
                <w:sz w:val="22"/>
              </w:rPr>
              <w:t>+0.9%</w:t>
            </w:r>
          </w:p>
        </w:tc>
        <w:tc>
          <w:tcPr>
            <w:tcW w:type="dxa" w:w="1080"/>
          </w:tcPr>
          <w:p>
            <w:r>
              <w:rPr>
                <w:rFonts w:ascii="Calibri" w:hAnsi="Calibri"/>
                <w:sz w:val="22"/>
              </w:rPr>
              <w:t>$520–$570M</w:t>
            </w:r>
          </w:p>
        </w:tc>
        <w:tc>
          <w:tcPr>
            <w:tcW w:type="dxa" w:w="1080"/>
          </w:tcPr>
          <w:p>
            <w:r>
              <w:rPr>
                <w:rFonts w:ascii="Calibri" w:hAnsi="Calibri"/>
                <w:sz w:val="22"/>
              </w:rPr>
              <w:t>$520–$570M (reaffirmed Jul 17)</w:t>
            </w:r>
          </w:p>
        </w:tc>
        <w:tc>
          <w:tcPr>
            <w:tcW w:type="dxa" w:w="1080"/>
          </w:tcPr>
          <w:p>
            <w:r>
              <w:rPr>
                <w:rFonts w:ascii="Calibri" w:hAnsi="Calibri"/>
                <w:sz w:val="22"/>
              </w:rPr>
              <w:t>Unchanged</w:t>
            </w:r>
          </w:p>
        </w:tc>
        <w:tc>
          <w:tcPr>
            <w:tcW w:type="dxa" w:w="1080"/>
          </w:tcPr>
          <w:p>
            <w:r>
              <w:rPr>
                <w:rFonts w:ascii="Calibri" w:hAnsi="Calibri"/>
                <w:sz w:val="22"/>
              </w:rPr>
              <w:t>−1.1% vs. mid</w:t>
            </w:r>
          </w:p>
        </w:tc>
      </w:tr>
      <w:tr>
        <w:tc>
          <w:tcPr>
            <w:tcW w:type="dxa" w:w="1080"/>
          </w:tcPr>
          <w:p>
            <w:r>
              <w:rPr>
                <w:rFonts w:ascii="Calibri" w:hAnsi="Calibri"/>
                <w:sz w:val="22"/>
              </w:rPr>
              <w:t>Adj. EBITDA — Enterprise (FY 2026)</w:t>
            </w:r>
          </w:p>
        </w:tc>
        <w:tc>
          <w:tcPr>
            <w:tcW w:type="dxa" w:w="1080"/>
          </w:tcPr>
          <w:p>
            <w:r>
              <w:rPr>
                <w:rFonts w:ascii="Calibri" w:hAnsi="Calibri"/>
                <w:sz w:val="22"/>
              </w:rPr>
              <w:t>$3.220B</w:t>
            </w:r>
          </w:p>
        </w:tc>
        <w:tc>
          <w:tcPr>
            <w:tcW w:type="dxa" w:w="1080"/>
          </w:tcPr>
          <w:p>
            <w:r>
              <w:rPr>
                <w:rFonts w:ascii="Calibri" w:hAnsi="Calibri"/>
                <w:sz w:val="22"/>
              </w:rPr>
              <w:t>$3.234B</w:t>
            </w:r>
          </w:p>
        </w:tc>
        <w:tc>
          <w:tcPr>
            <w:tcW w:type="dxa" w:w="1080"/>
          </w:tcPr>
          <w:p>
            <w:r>
              <w:rPr>
                <w:rFonts w:ascii="Calibri" w:hAnsi="Calibri"/>
                <w:sz w:val="22"/>
              </w:rPr>
              <w:t>+0.4%</w:t>
            </w:r>
          </w:p>
        </w:tc>
        <w:tc>
          <w:tcPr>
            <w:tcW w:type="dxa" w:w="1080"/>
          </w:tcPr>
          <w:p>
            <w:r>
              <w:rPr>
                <w:rFonts w:ascii="Calibri" w:hAnsi="Calibri"/>
                <w:sz w:val="22"/>
              </w:rPr>
              <w:t>$3.2–$3.5B</w:t>
            </w:r>
          </w:p>
        </w:tc>
        <w:tc>
          <w:tcPr>
            <w:tcW w:type="dxa" w:w="1080"/>
          </w:tcPr>
          <w:p>
            <w:r>
              <w:rPr>
                <w:rFonts w:ascii="Calibri" w:hAnsi="Calibri"/>
                <w:sz w:val="22"/>
              </w:rPr>
              <w:t>$3.2–$3.5B (unchanged)</w:t>
            </w:r>
          </w:p>
        </w:tc>
        <w:tc>
          <w:tcPr>
            <w:tcW w:type="dxa" w:w="1080"/>
          </w:tcPr>
          <w:p>
            <w:r>
              <w:rPr>
                <w:rFonts w:ascii="Calibri" w:hAnsi="Calibri"/>
                <w:sz w:val="22"/>
              </w:rPr>
              <w:t>Unchanged</w:t>
            </w:r>
          </w:p>
        </w:tc>
        <w:tc>
          <w:tcPr>
            <w:tcW w:type="dxa" w:w="1080"/>
          </w:tcPr>
          <w:p>
            <w:r>
              <w:rPr>
                <w:rFonts w:ascii="Calibri" w:hAnsi="Calibri"/>
                <w:sz w:val="22"/>
              </w:rPr>
              <w:t>−4.9% vs. mid</w:t>
            </w:r>
          </w:p>
        </w:tc>
      </w:tr>
      <w:tr>
        <w:tc>
          <w:tcPr>
            <w:tcW w:type="dxa" w:w="1080"/>
          </w:tcPr>
          <w:p>
            <w:r>
              <w:rPr>
                <w:rFonts w:ascii="Calibri" w:hAnsi="Calibri"/>
                <w:sz w:val="22"/>
              </w:rPr>
              <w:t>Adj. EBITDA — Enterprise (FY 2027)</w:t>
            </w:r>
          </w:p>
        </w:tc>
        <w:tc>
          <w:tcPr>
            <w:tcW w:type="dxa" w:w="1080"/>
          </w:tcPr>
          <w:p>
            <w:r>
              <w:rPr>
                <w:rFonts w:ascii="Calibri" w:hAnsi="Calibri"/>
                <w:sz w:val="22"/>
              </w:rPr>
              <w:t>$4.147B</w:t>
            </w:r>
          </w:p>
        </w:tc>
        <w:tc>
          <w:tcPr>
            <w:tcW w:type="dxa" w:w="1080"/>
          </w:tcPr>
          <w:p>
            <w:r>
              <w:rPr>
                <w:rFonts w:ascii="Calibri" w:hAnsi="Calibri"/>
                <w:sz w:val="22"/>
              </w:rPr>
              <w:t>$4.212B</w:t>
            </w:r>
          </w:p>
        </w:tc>
        <w:tc>
          <w:tcPr>
            <w:tcW w:type="dxa" w:w="1080"/>
          </w:tcPr>
          <w:p>
            <w:r>
              <w:rPr>
                <w:rFonts w:ascii="Calibri" w:hAnsi="Calibri"/>
                <w:b/>
                <w:color w:val="30A46C"/>
                <w:sz w:val="22"/>
              </w:rPr>
              <w:t>+1.6%</w:t>
            </w:r>
          </w:p>
        </w:tc>
        <w:tc>
          <w:tcPr>
            <w:tcW w:type="dxa" w:w="1080"/>
          </w:tcPr>
          <w:p>
            <w:r>
              <w:rPr>
                <w:rFonts w:ascii="Calibri" w:hAnsi="Calibri"/>
                <w:sz w:val="22"/>
              </w:rPr>
              <w:t>$5.0B target</w:t>
            </w:r>
          </w:p>
        </w:tc>
        <w:tc>
          <w:tcPr>
            <w:tcW w:type="dxa" w:w="1080"/>
          </w:tcPr>
          <w:p>
            <w:r>
              <w:rPr>
                <w:rFonts w:ascii="Calibri" w:hAnsi="Calibri"/>
                <w:sz w:val="22"/>
              </w:rPr>
              <w:t>$5.0B target (reaffirmed)</w:t>
            </w:r>
          </w:p>
        </w:tc>
        <w:tc>
          <w:tcPr>
            <w:tcW w:type="dxa" w:w="1080"/>
          </w:tcPr>
          <w:p>
            <w:r>
              <w:rPr>
                <w:rFonts w:ascii="Calibri" w:hAnsi="Calibri"/>
                <w:sz w:val="22"/>
              </w:rPr>
              <w:t>Unchanged</w:t>
            </w:r>
          </w:p>
        </w:tc>
        <w:tc>
          <w:tcPr>
            <w:tcW w:type="dxa" w:w="1080"/>
          </w:tcPr>
          <w:p>
            <w:r>
              <w:rPr>
                <w:rFonts w:ascii="Calibri" w:hAnsi="Calibri"/>
                <w:sz w:val="22"/>
              </w:rPr>
              <w:t>−15.8% vs. target</w:t>
            </w:r>
          </w:p>
        </w:tc>
      </w:tr>
      <w:tr>
        <w:tc>
          <w:tcPr>
            <w:tcW w:type="dxa" w:w="1080"/>
          </w:tcPr>
          <w:p>
            <w:r>
              <w:rPr>
                <w:rFonts w:ascii="Calibri" w:hAnsi="Calibri"/>
                <w:sz w:val="22"/>
              </w:rPr>
              <w:t>Net Revenue (Q2 2026)</w:t>
            </w:r>
          </w:p>
        </w:tc>
        <w:tc>
          <w:tcPr>
            <w:tcW w:type="dxa" w:w="1080"/>
          </w:tcPr>
          <w:p>
            <w:r>
              <w:rPr>
                <w:rFonts w:ascii="Calibri" w:hAnsi="Calibri"/>
                <w:sz w:val="22"/>
              </w:rPr>
              <w:t>$6.228B</w:t>
            </w:r>
          </w:p>
        </w:tc>
        <w:tc>
          <w:tcPr>
            <w:tcW w:type="dxa" w:w="1080"/>
          </w:tcPr>
          <w:p>
            <w:r>
              <w:rPr>
                <w:rFonts w:ascii="Calibri" w:hAnsi="Calibri"/>
                <w:sz w:val="22"/>
              </w:rPr>
              <w:t>$6.212B</w:t>
            </w:r>
          </w:p>
        </w:tc>
        <w:tc>
          <w:tcPr>
            <w:tcW w:type="dxa" w:w="1080"/>
          </w:tcPr>
          <w:p>
            <w:r>
              <w:rPr>
                <w:rFonts w:ascii="Calibri" w:hAnsi="Calibri"/>
                <w:b/>
                <w:color w:val="E5484D"/>
                <w:sz w:val="22"/>
              </w:rPr>
              <w:t>−0.3%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(FY 2026)</w:t>
            </w:r>
          </w:p>
        </w:tc>
        <w:tc>
          <w:tcPr>
            <w:tcW w:type="dxa" w:w="1080"/>
          </w:tcPr>
          <w:p>
            <w:r>
              <w:rPr>
                <w:rFonts w:ascii="Calibri" w:hAnsi="Calibri"/>
                <w:sz w:val="22"/>
              </w:rPr>
              <w:t>$24.797B</w:t>
            </w:r>
          </w:p>
        </w:tc>
        <w:tc>
          <w:tcPr>
            <w:tcW w:type="dxa" w:w="1080"/>
          </w:tcPr>
          <w:p>
            <w:r>
              <w:rPr>
                <w:rFonts w:ascii="Calibri" w:hAnsi="Calibri"/>
                <w:sz w:val="22"/>
              </w:rPr>
              <w:t>$24.901B</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 EPS — Diluted (Q2 2026)</w:t>
            </w:r>
          </w:p>
        </w:tc>
        <w:tc>
          <w:tcPr>
            <w:tcW w:type="dxa" w:w="1080"/>
          </w:tcPr>
          <w:p>
            <w:r>
              <w:rPr>
                <w:rFonts w:ascii="Calibri" w:hAnsi="Calibri"/>
                <w:sz w:val="22"/>
              </w:rPr>
              <w:t>–$0.04</w:t>
            </w:r>
          </w:p>
        </w:tc>
        <w:tc>
          <w:tcPr>
            <w:tcW w:type="dxa" w:w="1080"/>
          </w:tcPr>
          <w:p>
            <w:r>
              <w:rPr>
                <w:rFonts w:ascii="Calibri" w:hAnsi="Calibri"/>
                <w:sz w:val="22"/>
              </w:rPr>
              <w:t>–$0.03</w:t>
            </w:r>
          </w:p>
        </w:tc>
        <w:tc>
          <w:tcPr>
            <w:tcW w:type="dxa" w:w="1080"/>
          </w:tcPr>
          <w:p>
            <w:r>
              <w:rPr>
                <w:rFonts w:ascii="Calibri" w:hAnsi="Calibri"/>
                <w:sz w:val="22"/>
              </w:rPr>
              <w:t>Improved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 EPS — Diluted (FY 2026)</w:t>
            </w:r>
          </w:p>
        </w:tc>
        <w:tc>
          <w:tcPr>
            <w:tcW w:type="dxa" w:w="1080"/>
          </w:tcPr>
          <w:p>
            <w:r>
              <w:rPr>
                <w:rFonts w:ascii="Calibri" w:hAnsi="Calibri"/>
                <w:sz w:val="22"/>
              </w:rPr>
              <w:t>$1.352</w:t>
            </w:r>
          </w:p>
        </w:tc>
        <w:tc>
          <w:tcPr>
            <w:tcW w:type="dxa" w:w="1080"/>
          </w:tcPr>
          <w:p>
            <w:r>
              <w:rPr>
                <w:rFonts w:ascii="Calibri" w:hAnsi="Calibri"/>
                <w:sz w:val="22"/>
              </w:rPr>
              <w:t>$1.361</w:t>
            </w:r>
          </w:p>
        </w:tc>
        <w:tc>
          <w:tcPr>
            <w:tcW w:type="dxa" w:w="1080"/>
          </w:tcPr>
          <w:p>
            <w:r>
              <w:rPr>
                <w:rFonts w:ascii="Calibri" w:hAnsi="Calibri"/>
                <w:b/>
                <w:color w:val="30A46C"/>
                <w:sz w:val="22"/>
              </w:rPr>
              <w:t>+0.7%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Baseline as of May 5, 2026 (5 trading days post Q1 2026 earnings on April 30, 2026). Estimates have been remarkably stable since the Q1 print, with the EBITDA pre-announcement on July 17 effectively anchoring Q2 expectations. The key risk/opportunity is in the H2 bridge: consensus FY 2026 EBITDA of $3.23B implies ~$2.16B in H2, requiring a ~$1.08B H2 run-rate vs. ~$1.22B in H1 — management’s $650M NA step-up alone would imply a much stronger H2, suggesting consensus may be conservative if pricing flows through as guided.</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IP has rallied ~40% since the Q1 print (from $30.42 to ~$44), dramatically outperforming peers PKG (+17%) and AMCR (+21%), driven almost entirely by multiple re-rating and sentiment recovery rather than estimate revisions — the stock was pricing in a worst-case scenario post-Q1 and has partially recovered as the H2 pricing thesis gained credibility via PKG’s strong Q2 and the new $140/ton containerboard price increase announcement.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IP vs. PKG vs. AMCR — Indexed Price Performance Since Q1 2026 Earnings (April 30, 2026). Base = 100. Sector ETF used: IYM (iShares U.S. Basic Materials ETF). Key events marked: UBS downgrade (May 4), Citi/WF PT raises (Jul 9), BofA downgrade (Jul 14), Board changes 8-K (Jul 17), PKG Q2 beat + $140/ton CB price hike (Jul 24), JPM upgrade to Overweight (Jul 28).</w:t>
      </w:r>
    </w:p>
    <w:p>
      <w:r>
        <w:rPr>
          <w:rFonts w:ascii="Calibri" w:hAnsi="Calibri"/>
          <w:color w:val="525866"/>
          <w:sz w:val="22"/>
        </w:rPr>
        <w:t xml:space="preserve">IP dropped nearly 10% on April 30 (Q1 earnings day) as the full-year EBITDA guidance cut of ~$300M shocked the market, pushing the stock to multi-year lows near $30. The subsequent recovery has been driven by three catalysts: (1) </w:t>
      </w:r>
      <w:r>
        <w:rPr>
          <w:rFonts w:ascii="Calibri" w:hAnsi="Calibri"/>
          <w:b/>
          <w:color w:val="525866"/>
          <w:sz w:val="22"/>
        </w:rPr>
        <w:t>PKG’s Q2 2026 beat on July 23</w:t>
      </w:r>
      <w:r>
        <w:rPr>
          <w:rFonts w:ascii="Calibri" w:hAnsi="Calibri"/>
          <w:color w:val="525866"/>
          <w:sz w:val="22"/>
        </w:rPr>
        <w:t xml:space="preserve"> and announcement of a new $140/ton containerboard price increase (two tranches of $50 and $90), which validated the North American pricing recovery thesis; (2) </w:t>
      </w:r>
      <w:r>
        <w:rPr>
          <w:rFonts w:ascii="Calibri" w:hAnsi="Calibri"/>
          <w:b/>
          <w:color w:val="525866"/>
          <w:sz w:val="22"/>
        </w:rPr>
        <w:t>JPMorgan’s upgrade to Overweight with a $61 target on July 28</w:t>
      </w:r>
      <w:r>
        <w:rPr>
          <w:rFonts w:ascii="Calibri" w:hAnsi="Calibri"/>
          <w:color w:val="525866"/>
          <w:sz w:val="22"/>
        </w:rPr>
        <w:t xml:space="preserve">, the most bullish call on the Street; and (3) the </w:t>
      </w:r>
      <w:r>
        <w:rPr>
          <w:rFonts w:ascii="Calibri" w:hAnsi="Calibri"/>
          <w:b/>
          <w:color w:val="525866"/>
          <w:sz w:val="22"/>
        </w:rPr>
        <w:t>July 17 EBITDA pre-announcement</w:t>
      </w:r>
      <w:r>
        <w:rPr>
          <w:rFonts w:ascii="Calibri" w:hAnsi="Calibri"/>
          <w:color w:val="525866"/>
          <w:sz w:val="22"/>
        </w:rPr>
        <w:t xml:space="preserve"> ($520–$570M) which removed downside tail risk. The stock’s 40% rally since the Q1 print means it has already priced in a meaningful portion of the H2 recovery — at ~$44, IP trades at roughly 13.6x FY 2026 consensus EBITDA of $3.23B on an EV basis, still at a discount to peers but no longer at distressed levels. The key question heading into the print is whether management can provide enough confidence in the H2 bridge to sustain the re-rating.</w:t>
      </w:r>
    </w:p>
    <w:p>
      <w:r>
        <w:br w:type="page"/>
      </w:r>
    </w:p>
    <w:p>
      <w:pPr>
        <w:pStyle w:val="Heading2"/>
      </w:pPr>
      <w:r>
        <w:rPr>
          <w:rFonts w:ascii="Calibri" w:hAnsi="Calibri"/>
          <w:b/>
          <w:color w:val="3B4259"/>
          <w:sz w:val="28"/>
        </w:rPr>
        <w:t>6. Peer Commentaries — Read-Through for IP Q2 2026</w:t>
      </w:r>
    </w:p>
    <w:p>
      <w:r>
        <w:rPr>
          <w:rFonts w:ascii="Calibri" w:hAnsi="Calibri"/>
          <w:b/>
          <w:color w:val="525866"/>
          <w:sz w:val="22"/>
        </w:rPr>
        <w:t xml:space="preserve">Key Takeaway: </w:t>
      </w:r>
      <w:r>
        <w:rPr>
          <w:rFonts w:ascii="Calibri" w:hAnsi="Calibri"/>
          <w:color w:val="525866"/>
          <w:sz w:val="22"/>
        </w:rPr>
        <w:t>PKG’s Q2 2026 beat (reported July 23) is the most important read-through — it validates the North American containerboard market tightness thesis and the pricing recovery trajectory that underpins IP’s H2 bridge; GPK’s Q1 commentary (May 5) and Wells Fargo conference (June 9) add color on cost inflation and demand resilience that is directly relevant to IP’s Q2 setup.</w:t>
      </w:r>
    </w:p>
    <w:p>
      <w:pPr>
        <w:pStyle w:val="Heading3"/>
      </w:pPr>
      <w:r>
        <w:rPr>
          <w:rFonts w:ascii="Calibri" w:hAnsi="Calibri"/>
          <w:b/>
          <w:color w:val="3B4259"/>
          <w:sz w:val="24"/>
        </w:rPr>
        <w:t>PKG (Packaging Corporation of America) — Q2 2026 Earnings (July 23, 2026) — STRONG POSITIVE READ-THROUGH</w:t>
      </w:r>
    </w:p>
    <w:p>
      <w:pPr>
        <w:pStyle w:val="ListBullet"/>
        <w:ind w:left="360" w:hanging="360"/>
      </w:pPr>
      <w:r>
        <w:rPr>
          <w:rFonts w:ascii="Calibri" w:hAnsi="Calibri"/>
          <w:b/>
          <w:color w:val="525866"/>
          <w:sz w:val="22"/>
        </w:rPr>
        <w:t>Demand described as “very strong throughout the quarter across our entire customer base”</w:t>
      </w:r>
      <w:r>
        <w:rPr>
          <w:rFonts w:ascii="Calibri" w:hAnsi="Calibri"/>
          <w:color w:val="525866"/>
          <w:sz w:val="22"/>
        </w:rPr>
        <w:t xml:space="preserve"> — total corrugated shipments up 24%+ YoY (legacy business +4.1%), achieving an all-time record for total quarterly shipments. PKG exceeded its $2.33 EPS guidance on the strength of corrugated volumes. </w:t>
      </w:r>
    </w:p>
    <w:p>
      <w:pPr>
        <w:pStyle w:val="ListBullet"/>
        <w:ind w:left="360" w:hanging="360"/>
      </w:pPr>
      <w:r>
        <w:rPr>
          <w:rFonts w:ascii="Calibri" w:hAnsi="Calibri"/>
          <w:b/>
          <w:color w:val="525866"/>
          <w:sz w:val="22"/>
        </w:rPr>
        <w:t xml:space="preserve">Read-through for IP: </w:t>
      </w:r>
      <w:r>
        <w:rPr>
          <w:rFonts w:ascii="Calibri" w:hAnsi="Calibri"/>
          <w:color w:val="525866"/>
          <w:sz w:val="22"/>
        </w:rPr>
        <w:t>IP guided NA volumes up ~3% YoY in Q2 with the industry tracking flat — PKG’s record volumes and 4.1% legacy growth confirm the demand environment was supportive. IP’s above-market volume growth thesis (targeting +2% vs. industry) appears achievable.</w:t>
      </w:r>
    </w:p>
    <w:p>
      <w:pPr>
        <w:pStyle w:val="ListBullet"/>
        <w:ind w:left="360" w:hanging="360"/>
      </w:pPr>
      <w:r>
        <w:rPr>
          <w:rFonts w:ascii="Calibri" w:hAnsi="Calibri"/>
          <w:b/>
          <w:color w:val="525866"/>
          <w:sz w:val="22"/>
        </w:rPr>
        <w:t>Containerboard market described as “tight”</w:t>
      </w:r>
      <w:r>
        <w:rPr>
          <w:rFonts w:ascii="Calibri" w:hAnsi="Calibri"/>
          <w:color w:val="525866"/>
          <w:sz w:val="22"/>
        </w:rPr>
        <w:t xml:space="preserve"> — PKG intentionally reduced export sales mid-quarter to build inventory for H2, drawing down 90,000+ tons in March/April. System-wide inventories ended Q2 down 25,000 tons from Q1. Open market supply described as “hard to find.”</w:t>
      </w:r>
    </w:p>
    <w:p>
      <w:pPr>
        <w:pStyle w:val="ListBullet"/>
        <w:ind w:left="360" w:hanging="360"/>
      </w:pPr>
      <w:r>
        <w:rPr>
          <w:rFonts w:ascii="Calibri" w:hAnsi="Calibri"/>
          <w:b/>
          <w:color w:val="525866"/>
          <w:sz w:val="22"/>
        </w:rPr>
        <w:t xml:space="preserve">Read-through for IP: </w:t>
      </w:r>
      <w:r>
        <w:rPr>
          <w:rFonts w:ascii="Calibri" w:hAnsi="Calibri"/>
          <w:color w:val="525866"/>
          <w:sz w:val="22"/>
        </w:rPr>
        <w:t>Tight containerboard conditions support IP’s pricing recovery thesis. IP’s North American paper market was described as “very tight” on the Q1 call, and PKG’s commentary confirms this persisted through Q2. The Riverdale conversion (which temporarily made IP short on paper) is a near-term headwind but the tight market limits downside.</w:t>
      </w:r>
    </w:p>
    <w:p>
      <w:pPr>
        <w:pStyle w:val="ListBullet"/>
        <w:ind w:left="360" w:hanging="360"/>
      </w:pPr>
      <w:r>
        <w:rPr>
          <w:rFonts w:ascii="Calibri" w:hAnsi="Calibri"/>
          <w:b/>
          <w:color w:val="525866"/>
          <w:sz w:val="22"/>
        </w:rPr>
        <w:t>Pricing: First $50/ton increase beginning to be realized in June/July; second $50/ton increase (effective June 1) beginning in August</w:t>
      </w:r>
      <w:r>
        <w:rPr>
          <w:rFonts w:ascii="Calibri" w:hAnsi="Calibri"/>
          <w:color w:val="525866"/>
          <w:sz w:val="22"/>
        </w:rPr>
        <w:t xml:space="preserve">; majority of both increases expected in Q3. PKG then announced a new $140/ton increase for September. </w:t>
      </w:r>
    </w:p>
    <w:p>
      <w:pPr>
        <w:pStyle w:val="ListBullet"/>
        <w:ind w:left="360" w:hanging="360"/>
      </w:pPr>
      <w:r>
        <w:rPr>
          <w:rFonts w:ascii="Calibri" w:hAnsi="Calibri"/>
          <w:b/>
          <w:color w:val="525866"/>
          <w:sz w:val="22"/>
        </w:rPr>
        <w:t xml:space="preserve">Read-through for IP: </w:t>
      </w:r>
      <w:r>
        <w:rPr>
          <w:rFonts w:ascii="Calibri" w:hAnsi="Calibri"/>
          <w:color w:val="525866"/>
          <w:sz w:val="22"/>
        </w:rPr>
        <w:t>IP’s H2 bridge relies on $175M of pricing benefit from the March ($40/ton) and April ($30/ton) published increases flowing through in Q3. PKG’s confirmation that price realization is on track is a direct positive read-through for IP’s H2 EBITDA step-up. The new $140/ton PKG increase (September) would be incremental to IP’s current guidance if it flows through.</w:t>
      </w:r>
    </w:p>
    <w:p>
      <w:pPr>
        <w:pStyle w:val="ListBullet"/>
        <w:ind w:left="360" w:hanging="360"/>
      </w:pPr>
      <w:r>
        <w:rPr>
          <w:rFonts w:ascii="Calibri" w:hAnsi="Calibri"/>
          <w:b/>
          <w:color w:val="525866"/>
          <w:sz w:val="22"/>
        </w:rPr>
        <w:t>Cost headwinds: Freight costs elevated at May/June levels expected to persist into Q3</w:t>
      </w:r>
      <w:r>
        <w:rPr>
          <w:rFonts w:ascii="Calibri" w:hAnsi="Calibri"/>
          <w:color w:val="525866"/>
          <w:sz w:val="22"/>
        </w:rPr>
        <w:t>; OCC recycled fiber up ~70% since start of year; chemicals and purchased electricity higher. PKG’s freight was $0.26/share headwind in Q2.</w:t>
      </w:r>
    </w:p>
    <w:p>
      <w:pPr>
        <w:pStyle w:val="ListBullet"/>
        <w:ind w:left="360" w:hanging="360"/>
      </w:pPr>
      <w:r>
        <w:rPr>
          <w:rFonts w:ascii="Calibri" w:hAnsi="Calibri"/>
          <w:b/>
          <w:color w:val="525866"/>
          <w:sz w:val="22"/>
        </w:rPr>
        <w:t xml:space="preserve">Read-through for IP: </w:t>
      </w:r>
      <w:r>
        <w:rPr>
          <w:rFonts w:ascii="Calibri" w:hAnsi="Calibri"/>
          <w:color w:val="525866"/>
          <w:sz w:val="22"/>
        </w:rPr>
        <w:t>IP guided freight as a “significant near-term impact” and diesel as a key headwind. PKG’s confirmation that freight remains elevated at May/June levels into Q3 is a headwind for IP’s H2 bridge, which assumes only ~$50M of continued macro pressure in H2. This is a risk to monitor.</w:t>
      </w:r>
    </w:p>
    <w:p>
      <w:pPr>
        <w:pStyle w:val="ListBullet"/>
        <w:ind w:left="360" w:hanging="360"/>
      </w:pPr>
      <w:r>
        <w:rPr>
          <w:rFonts w:ascii="Calibri" w:hAnsi="Calibri"/>
          <w:b/>
          <w:color w:val="525866"/>
          <w:sz w:val="22"/>
        </w:rPr>
        <w:t>Q3 2026 EPS guidance of $2.91/share</w:t>
      </w:r>
      <w:r>
        <w:rPr>
          <w:rFonts w:ascii="Calibri" w:hAnsi="Calibri"/>
          <w:color w:val="525866"/>
          <w:sz w:val="22"/>
        </w:rPr>
        <w:t xml:space="preserve"> — a significant step-up from Q2’s $2.15, driven by price realization, higher production (limited outage schedule), and volume growth. PKG described Q3 as “setting up very nicely.”</w:t>
      </w:r>
    </w:p>
    <w:p>
      <w:pPr>
        <w:pStyle w:val="ListBullet"/>
        <w:ind w:left="360" w:hanging="360"/>
      </w:pPr>
      <w:r>
        <w:rPr>
          <w:rFonts w:ascii="Calibri" w:hAnsi="Calibri"/>
          <w:b/>
          <w:color w:val="525866"/>
          <w:sz w:val="22"/>
        </w:rPr>
        <w:t xml:space="preserve">Read-through for IP: </w:t>
      </w:r>
      <w:r>
        <w:rPr>
          <w:rFonts w:ascii="Calibri" w:hAnsi="Calibri"/>
          <w:color w:val="525866"/>
          <w:sz w:val="22"/>
        </w:rPr>
        <w:t>PKG’s strong Q3 guide is the single most important positive read-through for IP’s H2 recovery bridge. If the largest integrated North American containerboard producer is guiding to a sharp Q3 step-up, it validates IP’s ~$650M H2 EBITDA improvement thesis.</w:t>
      </w:r>
    </w:p>
    <w:p>
      <w:pPr>
        <w:pStyle w:val="Heading3"/>
      </w:pPr>
      <w:r>
        <w:rPr>
          <w:rFonts w:ascii="Calibri" w:hAnsi="Calibri"/>
          <w:b/>
          <w:color w:val="3B4259"/>
          <w:sz w:val="24"/>
        </w:rPr>
        <w:t>PKG — Wells Fargo Industrials &amp; Materials Conference (June 10, 2026) — POSITIVE READ-THROUGH</w:t>
      </w:r>
    </w:p>
    <w:p>
      <w:pPr>
        <w:pStyle w:val="ListBullet"/>
        <w:ind w:left="360" w:hanging="360"/>
      </w:pPr>
      <w:r>
        <w:rPr>
          <w:rFonts w:ascii="Calibri" w:hAnsi="Calibri"/>
          <w:b/>
          <w:color w:val="525866"/>
          <w:sz w:val="22"/>
        </w:rPr>
        <w:t>April/May corrugated shipments per day up 24%+ YoY; bookings “very strong” in both months and continuing into June</w:t>
      </w:r>
      <w:r>
        <w:rPr>
          <w:rFonts w:ascii="Calibri" w:hAnsi="Calibri"/>
          <w:color w:val="525866"/>
          <w:sz w:val="22"/>
        </w:rPr>
        <w:t>. Economy described as “resilient” with customers not signaling a slowdown.</w:t>
      </w:r>
    </w:p>
    <w:p>
      <w:pPr>
        <w:pStyle w:val="ListBullet"/>
        <w:ind w:left="360" w:hanging="360"/>
      </w:pPr>
      <w:r>
        <w:rPr>
          <w:rFonts w:ascii="Calibri" w:hAnsi="Calibri"/>
          <w:b/>
          <w:color w:val="525866"/>
          <w:sz w:val="22"/>
        </w:rPr>
        <w:t xml:space="preserve">Read-through for IP: </w:t>
      </w:r>
      <w:r>
        <w:rPr>
          <w:rFonts w:ascii="Calibri" w:hAnsi="Calibri"/>
          <w:color w:val="525866"/>
          <w:sz w:val="22"/>
        </w:rPr>
        <w:t>Demand momentum heading into June was strong, supporting IP’s Q2 volume guidance of +3% YoY. The resilient demand backdrop reduces the risk of a volume miss.</w:t>
      </w:r>
    </w:p>
    <w:p>
      <w:pPr>
        <w:pStyle w:val="ListBullet"/>
        <w:ind w:left="360" w:hanging="360"/>
      </w:pPr>
      <w:r>
        <w:rPr>
          <w:rFonts w:ascii="Calibri" w:hAnsi="Calibri"/>
          <w:b/>
          <w:color w:val="525866"/>
          <w:sz w:val="22"/>
        </w:rPr>
        <w:t>Second $50/ton containerboard price increase (effective June 1) being implemented</w:t>
      </w:r>
      <w:r>
        <w:rPr>
          <w:rFonts w:ascii="Calibri" w:hAnsi="Calibri"/>
          <w:color w:val="525866"/>
          <w:sz w:val="22"/>
        </w:rPr>
        <w:t>; containerboard conditions “very tight” with open market supply “hard to find.” PCA drew down 90,000+ tons of inventory in March/April.</w:t>
      </w:r>
    </w:p>
    <w:p>
      <w:pPr>
        <w:pStyle w:val="ListBullet"/>
        <w:ind w:left="360" w:hanging="360"/>
      </w:pPr>
      <w:r>
        <w:rPr>
          <w:rFonts w:ascii="Calibri" w:hAnsi="Calibri"/>
          <w:b/>
          <w:color w:val="525866"/>
          <w:sz w:val="22"/>
        </w:rPr>
        <w:t xml:space="preserve">Read-through for IP: </w:t>
      </w:r>
      <w:r>
        <w:rPr>
          <w:rFonts w:ascii="Calibri" w:hAnsi="Calibri"/>
          <w:color w:val="525866"/>
          <w:sz w:val="22"/>
        </w:rPr>
        <w:t>The June 1 price increase announcement (post-IP’s Q1 earnings) is incremental to IP’s current guidance and represents potential upside to the H2 bridge if it flows through to IP’s contracts.</w:t>
      </w:r>
    </w:p>
    <w:p>
      <w:pPr>
        <w:pStyle w:val="ListBullet"/>
        <w:ind w:left="360" w:hanging="360"/>
      </w:pPr>
      <w:r>
        <w:rPr>
          <w:rFonts w:ascii="Calibri" w:hAnsi="Calibri"/>
          <w:b/>
          <w:color w:val="525866"/>
          <w:sz w:val="22"/>
        </w:rPr>
        <w:t>Freight headwinds: $10–$12M unfavorable to guidance for Q2</w:t>
      </w:r>
      <w:r>
        <w:rPr>
          <w:rFonts w:ascii="Calibri" w:hAnsi="Calibri"/>
          <w:color w:val="525866"/>
          <w:sz w:val="22"/>
        </w:rPr>
        <w:t>; OCC costs up due to higher market prices AND higher transportation costs (diesel). PCA managing by shifting toward virgin fiber.</w:t>
      </w:r>
    </w:p>
    <w:p>
      <w:pPr>
        <w:pStyle w:val="ListBullet"/>
        <w:ind w:left="360" w:hanging="360"/>
      </w:pPr>
      <w:r>
        <w:rPr>
          <w:rFonts w:ascii="Calibri" w:hAnsi="Calibri"/>
          <w:b/>
          <w:color w:val="525866"/>
          <w:sz w:val="22"/>
        </w:rPr>
        <w:t xml:space="preserve">Read-through for IP: </w:t>
      </w:r>
      <w:r>
        <w:rPr>
          <w:rFonts w:ascii="Calibri" w:hAnsi="Calibri"/>
          <w:color w:val="525866"/>
          <w:sz w:val="22"/>
        </w:rPr>
        <w:t>Confirms the freight/diesel headwind environment that IP flagged on its Q1 call. IP’s integrated system (less OCC-dependent than PKG’s acquired Greif mills) may provide some relative insulation, but the cost environment is broadly challenging.</w:t>
      </w:r>
    </w:p>
    <w:p>
      <w:pPr>
        <w:pStyle w:val="Heading3"/>
      </w:pPr>
      <w:r>
        <w:rPr>
          <w:rFonts w:ascii="Calibri" w:hAnsi="Calibri"/>
          <w:b/>
          <w:color w:val="3B4259"/>
          <w:sz w:val="24"/>
        </w:rPr>
        <w:t>GPK (Graphic Packaging) — Q1 2026 Earnings (May 5, 2026) — MIXED READ-THROUGH</w:t>
      </w:r>
    </w:p>
    <w:p>
      <w:pPr>
        <w:pStyle w:val="ListBullet"/>
        <w:ind w:left="360" w:hanging="360"/>
      </w:pPr>
      <w:r>
        <w:rPr>
          <w:rFonts w:ascii="Calibri" w:hAnsi="Calibri"/>
          <w:b/>
          <w:color w:val="525866"/>
          <w:sz w:val="22"/>
        </w:rPr>
        <w:t>Demand environment reflects “a more selective and value-conscious consumer”</w:t>
      </w:r>
      <w:r>
        <w:rPr>
          <w:rFonts w:ascii="Calibri" w:hAnsi="Calibri"/>
          <w:color w:val="525866"/>
          <w:sz w:val="22"/>
        </w:rPr>
        <w:t xml:space="preserve"> — ~47% of global shoppers now considered value seekers; volumes up 1% YoY in Q1 with performance improving as the quarter progressed. Q2 volume expectation consistent with full-year range of down 1% to up 1%.</w:t>
      </w:r>
    </w:p>
    <w:p>
      <w:pPr>
        <w:pStyle w:val="ListBullet"/>
        <w:ind w:left="360" w:hanging="360"/>
      </w:pPr>
      <w:r>
        <w:rPr>
          <w:rFonts w:ascii="Calibri" w:hAnsi="Calibri"/>
          <w:b/>
          <w:color w:val="525866"/>
          <w:sz w:val="22"/>
        </w:rPr>
        <w:t xml:space="preserve">Read-through for IP: </w:t>
      </w:r>
      <w:r>
        <w:rPr>
          <w:rFonts w:ascii="Calibri" w:hAnsi="Calibri"/>
          <w:color w:val="525866"/>
          <w:sz w:val="22"/>
        </w:rPr>
        <w:t>GPK serves different end markets (folding cartons, food/beverage packaging) vs. IP’s corrugated focus, so the read-through is partial. However, the “value-conscious consumer” theme is consistent with IP’s own commentary about demand being “about 1 point softer than expected” in both NA and EMEA. GPK’s stable-to-improving volume trend is modestly positive for IP’s volume outlook.</w:t>
      </w:r>
    </w:p>
    <w:p>
      <w:pPr>
        <w:pStyle w:val="ListBullet"/>
        <w:ind w:left="360" w:hanging="360"/>
      </w:pPr>
      <w:r>
        <w:rPr>
          <w:rFonts w:ascii="Calibri" w:hAnsi="Calibri"/>
          <w:b/>
          <w:color w:val="525866"/>
          <w:sz w:val="22"/>
        </w:rPr>
        <w:t>Commodity cost inflation ~$37M in Q1, ~$10M above expectations</w:t>
      </w:r>
      <w:r>
        <w:rPr>
          <w:rFonts w:ascii="Calibri" w:hAnsi="Calibri"/>
          <w:color w:val="525866"/>
          <w:sz w:val="22"/>
        </w:rPr>
        <w:t>; incremental inflation from Iran conflict impacting logistics, energy, and resin. Estimates $60–$65M of incremental full-year inflation vs. original plan. Sequential $10M incremental impact expected in Q2.</w:t>
      </w:r>
    </w:p>
    <w:p>
      <w:pPr>
        <w:pStyle w:val="ListBullet"/>
        <w:ind w:left="360" w:hanging="360"/>
      </w:pPr>
      <w:r>
        <w:rPr>
          <w:rFonts w:ascii="Calibri" w:hAnsi="Calibri"/>
          <w:b/>
          <w:color w:val="525866"/>
          <w:sz w:val="22"/>
        </w:rPr>
        <w:t xml:space="preserve">Read-through for IP: </w:t>
      </w:r>
      <w:r>
        <w:rPr>
          <w:rFonts w:ascii="Calibri" w:hAnsi="Calibri"/>
          <w:color w:val="525866"/>
          <w:sz w:val="22"/>
        </w:rPr>
        <w:t>GPK’s cost inflation experience directly mirrors IP’s Q1 commentary about diesel, chemicals, and OCC being key headwinds. The Iran conflict-driven energy/logistics inflation is relevant to IP’s EMEA business in particular, where energy exposure is higher. This confirms the macro cost headwind environment that IP has been navigating.</w:t>
      </w:r>
    </w:p>
    <w:p>
      <w:pPr>
        <w:pStyle w:val="ListBullet"/>
        <w:ind w:left="360" w:hanging="360"/>
      </w:pPr>
      <w:r>
        <w:rPr>
          <w:rFonts w:ascii="Calibri" w:hAnsi="Calibri"/>
          <w:b/>
          <w:color w:val="525866"/>
          <w:sz w:val="22"/>
        </w:rPr>
        <w:t>EMEA: Health &amp; beauty (primarily international) delivered strong growth</w:t>
      </w:r>
      <w:r>
        <w:rPr>
          <w:rFonts w:ascii="Calibri" w:hAnsi="Calibri"/>
          <w:color w:val="525866"/>
          <w:sz w:val="22"/>
        </w:rPr>
        <w:t>; company reaffirmed commitment to European markets. Croatia divestiture of noncore assets expected to complete in Q2.</w:t>
      </w:r>
    </w:p>
    <w:p>
      <w:pPr>
        <w:pStyle w:val="ListBullet"/>
        <w:ind w:left="360" w:hanging="360"/>
      </w:pPr>
      <w:r>
        <w:rPr>
          <w:rFonts w:ascii="Calibri" w:hAnsi="Calibri"/>
          <w:b/>
          <w:color w:val="525866"/>
          <w:sz w:val="22"/>
        </w:rPr>
        <w:t xml:space="preserve">Read-through for IP: </w:t>
      </w:r>
      <w:r>
        <w:rPr>
          <w:rFonts w:ascii="Calibri" w:hAnsi="Calibri"/>
          <w:color w:val="525866"/>
          <w:sz w:val="22"/>
        </w:rPr>
        <w:t>Limited direct EMEA read-through given different product mix (GPK is folding cartons vs. IP’s corrugated boxes). However, GPK’s stable European demand in its categories is modestly supportive of IP’s EMEA volume recovery thesis.</w:t>
      </w:r>
    </w:p>
    <w:p>
      <w:pPr>
        <w:pStyle w:val="ListBullet"/>
        <w:ind w:left="360" w:hanging="360"/>
      </w:pPr>
      <w:r>
        <w:rPr>
          <w:rFonts w:ascii="Calibri" w:hAnsi="Calibri"/>
          <w:b/>
          <w:color w:val="525866"/>
          <w:sz w:val="22"/>
        </w:rPr>
        <w:t>H2 2026 bridge: $25M weather impact, $20M higher maintenance, $20M production curtailments all in H1 and not repeating</w:t>
      </w:r>
      <w:r>
        <w:rPr>
          <w:rFonts w:ascii="Calibri" w:hAnsi="Calibri"/>
          <w:color w:val="525866"/>
          <w:sz w:val="22"/>
        </w:rPr>
        <w:t>; $60M cost takeout accelerating in H2; pricing actions and contractual pass-throughs contributing. Full-year adjusted EBITDA guidance of $1.05–$1.25B reaffirmed.</w:t>
      </w:r>
    </w:p>
    <w:p>
      <w:pPr>
        <w:pStyle w:val="ListBullet"/>
        <w:ind w:left="360" w:hanging="360"/>
      </w:pPr>
      <w:r>
        <w:rPr>
          <w:rFonts w:ascii="Calibri" w:hAnsi="Calibri"/>
          <w:b/>
          <w:color w:val="525866"/>
          <w:sz w:val="22"/>
        </w:rPr>
        <w:t xml:space="preserve">Read-through for IP: </w:t>
      </w:r>
      <w:r>
        <w:rPr>
          <w:rFonts w:ascii="Calibri" w:hAnsi="Calibri"/>
          <w:color w:val="525866"/>
          <w:sz w:val="22"/>
        </w:rPr>
        <w:t>GPK’s H1-to-H2 bridge structure (weather, maintenance, curtailments not repeating + cost-out accelerating) is structurally similar to IP’s own H2 recovery narrative. GPK’s ability to reaffirm guidance despite cost headwinds is modestly positive for IP’s credibility on its own H2 bridge.</w:t>
      </w:r>
    </w:p>
    <w:p>
      <w:pPr>
        <w:pStyle w:val="Heading3"/>
      </w:pPr>
      <w:r>
        <w:rPr>
          <w:rFonts w:ascii="Calibri" w:hAnsi="Calibri"/>
          <w:b/>
          <w:color w:val="3B4259"/>
          <w:sz w:val="24"/>
        </w:rPr>
        <w:t>GPK — Wells Fargo Industrials &amp; Materials Conference (June 9, 2026) — MIXED READ-THROUGH</w:t>
      </w:r>
    </w:p>
    <w:p>
      <w:pPr>
        <w:pStyle w:val="ListBullet"/>
        <w:ind w:left="360" w:hanging="360"/>
      </w:pPr>
      <w:r>
        <w:rPr>
          <w:rFonts w:ascii="Calibri" w:hAnsi="Calibri"/>
          <w:b/>
          <w:color w:val="525866"/>
          <w:sz w:val="22"/>
        </w:rPr>
        <w:t>Demand described as “very resilient”</w:t>
      </w:r>
      <w:r>
        <w:rPr>
          <w:rFonts w:ascii="Calibri" w:hAnsi="Calibri"/>
          <w:color w:val="525866"/>
          <w:sz w:val="22"/>
        </w:rPr>
        <w:t xml:space="preserve"> with no spikes suggesting inventory buildup; diversified portfolio across food, beverage, household, and international markets creating “quite a bit of calm” in top line.</w:t>
      </w:r>
    </w:p>
    <w:p>
      <w:pPr>
        <w:pStyle w:val="ListBullet"/>
        <w:ind w:left="360" w:hanging="360"/>
      </w:pPr>
      <w:r>
        <w:rPr>
          <w:rFonts w:ascii="Calibri" w:hAnsi="Calibri"/>
          <w:b/>
          <w:color w:val="525866"/>
          <w:sz w:val="22"/>
        </w:rPr>
        <w:t xml:space="preserve">Read-through for IP: </w:t>
      </w:r>
      <w:r>
        <w:rPr>
          <w:rFonts w:ascii="Calibri" w:hAnsi="Calibri"/>
          <w:color w:val="525866"/>
          <w:sz w:val="22"/>
        </w:rPr>
        <w:t>Resilient demand backdrop is broadly supportive of IP’s volume guidance. The “no inventory buildup” observation is relevant — IP’s above-market volume growth is driven by genuine customer wins, not channel stuffing.</w:t>
      </w:r>
    </w:p>
    <w:p>
      <w:pPr>
        <w:pStyle w:val="ListBullet"/>
        <w:ind w:left="360" w:hanging="360"/>
      </w:pPr>
      <w:r>
        <w:rPr>
          <w:rFonts w:ascii="Calibri" w:hAnsi="Calibri"/>
          <w:b/>
          <w:color w:val="525866"/>
          <w:sz w:val="22"/>
        </w:rPr>
        <w:t>$65M more inflation than originally anticipated in annual plan</w:t>
      </w:r>
      <w:r>
        <w:rPr>
          <w:rFonts w:ascii="Calibri" w:hAnsi="Calibri"/>
          <w:color w:val="525866"/>
          <w:sz w:val="22"/>
        </w:rPr>
        <w:t>; inflation “particularly driven by transport, logistics, oil and gas prices”; $25–$30/ton of transportation inflation on paper alone. CEO described treating inflation as “permanent” in reengineering cost structure.</w:t>
      </w:r>
    </w:p>
    <w:p>
      <w:pPr>
        <w:pStyle w:val="ListBullet"/>
        <w:ind w:left="360" w:hanging="360"/>
      </w:pPr>
      <w:r>
        <w:rPr>
          <w:rFonts w:ascii="Calibri" w:hAnsi="Calibri"/>
          <w:b/>
          <w:color w:val="525866"/>
          <w:sz w:val="22"/>
        </w:rPr>
        <w:t xml:space="preserve">Read-through for IP: </w:t>
      </w:r>
      <w:r>
        <w:rPr>
          <w:rFonts w:ascii="Calibri" w:hAnsi="Calibri"/>
          <w:color w:val="525866"/>
          <w:sz w:val="22"/>
        </w:rPr>
        <w:t>The magnitude of cost inflation GPK is experiencing ($65M above plan) is consistent with IP’s own $200M macro headwind in North America. The “treating inflation as permanent” mindset is relevant context for IP’s cost-out urgency and the credibility of its 80/20 cost reduction program.</w:t>
      </w:r>
    </w:p>
    <w:p>
      <w:pPr>
        <w:pStyle w:val="ListBullet"/>
        <w:ind w:left="360" w:hanging="360"/>
      </w:pPr>
      <w:r>
        <w:rPr>
          <w:rFonts w:ascii="Calibri" w:hAnsi="Calibri"/>
          <w:b/>
          <w:color w:val="525866"/>
          <w:sz w:val="22"/>
        </w:rPr>
        <w:t>SBS price increase for folding carton and cup stock announced for June implementation</w:t>
      </w:r>
      <w:r>
        <w:rPr>
          <w:rFonts w:ascii="Calibri" w:hAnsi="Calibri"/>
          <w:color w:val="525866"/>
          <w:sz w:val="22"/>
        </w:rPr>
        <w:t>; unbleached price increase also announced. Pricing driven by “tremendous amount of inflation in the business.”</w:t>
      </w:r>
    </w:p>
    <w:p>
      <w:pPr>
        <w:pStyle w:val="ListBullet"/>
        <w:ind w:left="360" w:hanging="360"/>
      </w:pPr>
      <w:r>
        <w:rPr>
          <w:rFonts w:ascii="Calibri" w:hAnsi="Calibri"/>
          <w:b/>
          <w:color w:val="525866"/>
          <w:sz w:val="22"/>
        </w:rPr>
        <w:t xml:space="preserve">Read-through for IP: </w:t>
      </w:r>
      <w:r>
        <w:rPr>
          <w:rFonts w:ascii="Calibri" w:hAnsi="Calibri"/>
          <w:color w:val="525866"/>
          <w:sz w:val="22"/>
        </w:rPr>
        <w:t>Broad-based packaging price increases across multiple grades and producers confirm the pricing environment is supportive. IP’s own March/April containerboard price increases are part of this industry-wide repricing cycle.</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print is PKG’s Q2 beat and announcement of a new $140/ton containerboard price increase on July 23–24, which directly validates IP’s H2 pricing recovery thesis and triggered a sharp re-rating of IP shares; the JPMorgan upgrade to Overweight ($61 target) on July 28 is the most bullish sell-side call and adds momentum heading into the print.</w:t>
      </w:r>
    </w:p>
    <w:p>
      <w:pPr>
        <w:pStyle w:val="ListBullet"/>
        <w:ind w:left="360" w:hanging="360"/>
      </w:pPr>
      <w:r>
        <w:rPr>
          <w:rFonts w:ascii="Calibri" w:hAnsi="Calibri"/>
          <w:b/>
          <w:color w:val="525866"/>
          <w:sz w:val="22"/>
        </w:rPr>
        <w:t>July 23–24, 2026 — PKG Q2 2026 Beat + New $140/ton Containerboard Price Increase:</w:t>
      </w:r>
      <w:r>
        <w:rPr>
          <w:rFonts w:ascii="Calibri" w:hAnsi="Calibri"/>
          <w:i/>
          <w:color w:val="525866"/>
          <w:sz w:val="22"/>
        </w:rPr>
        <w:t xml:space="preserve"> PKG reported Q2 EPS of $2.15 (beat vs. $2.33 guidance on volume strength) and announced a new $140/ton containerboard price increase effective September. Truist analyst Michael Roxland noted IP and Smurfit WestRock expected to follow. IP shares surged ~11% on July 24. </w:t>
      </w:r>
      <w:r>
        <w:rPr>
          <w:rFonts w:ascii="Calibri" w:hAnsi="Calibri"/>
          <w:b/>
          <w:color w:val="525866"/>
          <w:sz w:val="22"/>
        </w:rPr>
        <w:t xml:space="preserve">Implication: </w:t>
      </w:r>
      <w:r>
        <w:rPr>
          <w:rFonts w:ascii="Calibri" w:hAnsi="Calibri"/>
          <w:color w:val="525866"/>
          <w:sz w:val="22"/>
        </w:rPr>
        <w:t>Directly validates IP’s H2 pricing recovery thesis; the new $140/ton increase is incremental to IP’s current guidance and represents potential upside to FY 2026/2027 EBITDA if it flows through.</w:t>
      </w:r>
    </w:p>
    <w:p>
      <w:pPr>
        <w:pStyle w:val="ListBullet"/>
        <w:ind w:left="360" w:hanging="360"/>
      </w:pPr>
      <w:r>
        <w:rPr>
          <w:rFonts w:ascii="Calibri" w:hAnsi="Calibri"/>
          <w:b/>
          <w:color w:val="525866"/>
          <w:sz w:val="22"/>
        </w:rPr>
        <w:t>July 28, 2026 — JPMorgan Upgrade to Overweight, PT $61:</w:t>
      </w:r>
      <w:r>
        <w:rPr>
          <w:rFonts w:ascii="Calibri" w:hAnsi="Calibri"/>
          <w:i/>
          <w:color w:val="525866"/>
          <w:sz w:val="22"/>
        </w:rPr>
        <w:t xml:space="preserve"> JPM upgraded IP from Neutral to Overweight and raised its price target from $51 to $61, the most bullish call on the Street. Loop Capital also set a $61 target. </w:t>
      </w:r>
      <w:r>
        <w:rPr>
          <w:rFonts w:ascii="Calibri" w:hAnsi="Calibri"/>
          <w:b/>
          <w:color w:val="525866"/>
          <w:sz w:val="22"/>
        </w:rPr>
        <w:t xml:space="preserve">Implication: </w:t>
      </w:r>
      <w:r>
        <w:rPr>
          <w:rFonts w:ascii="Calibri" w:hAnsi="Calibri"/>
          <w:color w:val="525866"/>
          <w:sz w:val="22"/>
        </w:rPr>
        <w:t>Adds momentum and institutional buying interest heading into the print; $61 target implies ~40% upside from current levels and suggests the market is beginning to price in a more constructive H2/2027 scenario.</w:t>
      </w:r>
    </w:p>
    <w:p>
      <w:pPr>
        <w:pStyle w:val="ListBullet"/>
        <w:ind w:left="360" w:hanging="360"/>
      </w:pPr>
      <w:r>
        <w:rPr>
          <w:rFonts w:ascii="Calibri" w:hAnsi="Calibri"/>
          <w:b/>
          <w:color w:val="525866"/>
          <w:sz w:val="22"/>
        </w:rPr>
        <w:t>July 17, 2026 — IP Q2 EBITDA Pre-Announcement ($520–$570M) + Board Changes:</w:t>
      </w:r>
      <w:r>
        <w:rPr>
          <w:rFonts w:ascii="Calibri" w:hAnsi="Calibri"/>
          <w:i/>
          <w:color w:val="525866"/>
          <w:sz w:val="22"/>
        </w:rPr>
        <w:t xml:space="preserve"> IP pre-announced preliminary, unaudited Q2 adjusted EBITDA of $520–$570M (midpoint $545M, ~19.5% below Q1’s $677M), reaffirming FY 2026 guidance of $3.2–$3.5B. Simultaneously, IP announced two new independent directors (Katherine Collins, Lori J. Ryerkerk, effective October 1, 2026) and the planned retirement of two long-serving directors (Dr. Kathryn Sullivan, Ahmet Dorduncu) at year-end. </w:t>
      </w:r>
      <w:r>
        <w:rPr>
          <w:rFonts w:ascii="Calibri" w:hAnsi="Calibri"/>
          <w:b/>
          <w:color w:val="525866"/>
          <w:sz w:val="22"/>
        </w:rPr>
        <w:t xml:space="preserve">Implication: </w:t>
      </w:r>
      <w:r>
        <w:rPr>
          <w:rFonts w:ascii="Calibri" w:hAnsi="Calibri"/>
          <w:color w:val="525866"/>
          <w:sz w:val="22"/>
        </w:rPr>
        <w:t>Pre-announcement removes downside surprise risk on Q2 headline; board refresh with operational (Ryerkerk — former Celanese CEO) and ESG/investment (Collins) expertise supports the separation narrative.</w:t>
      </w:r>
    </w:p>
    <w:p>
      <w:pPr>
        <w:pStyle w:val="ListBullet"/>
        <w:ind w:left="360" w:hanging="360"/>
      </w:pPr>
      <w:r>
        <w:rPr>
          <w:rFonts w:ascii="Calibri" w:hAnsi="Calibri"/>
          <w:b/>
          <w:color w:val="525866"/>
          <w:sz w:val="22"/>
        </w:rPr>
        <w:t>July 14, 2026 — Bank of America Downgrade to Neutral, PT $41:</w:t>
      </w:r>
      <w:r>
        <w:rPr>
          <w:rFonts w:ascii="Calibri" w:hAnsi="Calibri"/>
          <w:i/>
          <w:color w:val="525866"/>
          <w:sz w:val="22"/>
        </w:rPr>
        <w:t xml:space="preserve"> BofA cut IP from Buy to Neutral, arguing that the $100/ton containerboard price gains had “largely played out.” </w:t>
      </w:r>
      <w:r>
        <w:rPr>
          <w:rFonts w:ascii="Calibri" w:hAnsi="Calibri"/>
          <w:b/>
          <w:color w:val="525866"/>
          <w:sz w:val="22"/>
        </w:rPr>
        <w:t xml:space="preserve">Implication: </w:t>
      </w:r>
      <w:r>
        <w:rPr>
          <w:rFonts w:ascii="Calibri" w:hAnsi="Calibri"/>
          <w:color w:val="525866"/>
          <w:sz w:val="22"/>
        </w:rPr>
        <w:t>Contrarian to the subsequent PKG-driven rally; BofA’s thesis was effectively invalidated by PKG’s new $140/ton increase announcement 10 days later.</w:t>
      </w:r>
    </w:p>
    <w:p>
      <w:pPr>
        <w:pStyle w:val="ListBullet"/>
        <w:ind w:left="360" w:hanging="360"/>
      </w:pPr>
      <w:r>
        <w:rPr>
          <w:rFonts w:ascii="Calibri" w:hAnsi="Calibri"/>
          <w:b/>
          <w:color w:val="525866"/>
          <w:sz w:val="22"/>
        </w:rPr>
        <w:t>July 9, 2026 — Citigroup PT Raise ($36 → $43, Buy) + Wells Fargo PT Raise ($39 → $42, Overweight):</w:t>
      </w:r>
      <w:r>
        <w:rPr>
          <w:rFonts w:ascii="Calibri" w:hAnsi="Calibri"/>
          <w:i/>
          <w:color w:val="525866"/>
          <w:sz w:val="22"/>
        </w:rPr>
        <w:t xml:space="preserve"> Both firms raised price targets, reflecting improving sentiment around the H2 pricing recovery thesis. </w:t>
      </w:r>
      <w:r>
        <w:rPr>
          <w:rFonts w:ascii="Calibri" w:hAnsi="Calibri"/>
          <w:b/>
          <w:color w:val="525866"/>
          <w:sz w:val="22"/>
        </w:rPr>
        <w:t xml:space="preserve">Implication: </w:t>
      </w:r>
      <w:r>
        <w:rPr>
          <w:rFonts w:ascii="Calibri" w:hAnsi="Calibri"/>
          <w:color w:val="525866"/>
          <w:sz w:val="22"/>
        </w:rPr>
        <w:t>Broad-based sell-side constructiveness ahead of the print; consensus rating is “Moderate Buy” with average target ~$44–$46.</w:t>
      </w:r>
    </w:p>
    <w:p>
      <w:pPr>
        <w:pStyle w:val="ListBullet"/>
        <w:ind w:left="360" w:hanging="360"/>
      </w:pPr>
      <w:r>
        <w:rPr>
          <w:rFonts w:ascii="Calibri" w:hAnsi="Calibri"/>
          <w:b/>
          <w:color w:val="525866"/>
          <w:sz w:val="22"/>
        </w:rPr>
        <w:t>July 17, 2026 — RBC Capital Maintains Outperform, PT Raised $45 → $48:</w:t>
      </w:r>
      <w:r>
        <w:rPr>
          <w:rFonts w:ascii="Calibri" w:hAnsi="Calibri"/>
          <w:i/>
          <w:color w:val="525866"/>
          <w:sz w:val="22"/>
        </w:rPr>
        <w:t xml:space="preserve"> RBC raised its target following the pre-announcement, maintaining a constructive view. </w:t>
      </w:r>
      <w:r>
        <w:rPr>
          <w:rFonts w:ascii="Calibri" w:hAnsi="Calibri"/>
          <w:b/>
          <w:color w:val="525866"/>
          <w:sz w:val="22"/>
        </w:rPr>
        <w:t xml:space="preserve">Implication: </w:t>
      </w:r>
      <w:r>
        <w:rPr>
          <w:rFonts w:ascii="Calibri" w:hAnsi="Calibri"/>
          <w:color w:val="525866"/>
          <w:sz w:val="22"/>
        </w:rPr>
        <w:t>Adds to the constructive sell-side backdrop heading into the print.</w:t>
      </w:r>
    </w:p>
    <w:p>
      <w:pPr>
        <w:pStyle w:val="ListBullet"/>
        <w:ind w:left="360" w:hanging="360"/>
      </w:pPr>
      <w:r>
        <w:rPr>
          <w:rFonts w:ascii="Calibri" w:hAnsi="Calibri"/>
          <w:b/>
          <w:color w:val="525866"/>
          <w:sz w:val="22"/>
        </w:rPr>
        <w:t>May 4, 2026 — UBS Downgrade to Neutral, PT $40 → $32:</w:t>
      </w:r>
      <w:r>
        <w:rPr>
          <w:rFonts w:ascii="Calibri" w:hAnsi="Calibri"/>
          <w:i/>
          <w:color w:val="525866"/>
          <w:sz w:val="22"/>
        </w:rPr>
        <w:t xml:space="preserve"> UBS cut IP to Neutral shortly after the Q1 print, citing execution risk and EMEA headwinds. </w:t>
      </w:r>
      <w:r>
        <w:rPr>
          <w:rFonts w:ascii="Calibri" w:hAnsi="Calibri"/>
          <w:b/>
          <w:color w:val="525866"/>
          <w:sz w:val="22"/>
        </w:rPr>
        <w:t xml:space="preserve">Implication: </w:t>
      </w:r>
      <w:r>
        <w:rPr>
          <w:rFonts w:ascii="Calibri" w:hAnsi="Calibri"/>
          <w:color w:val="525866"/>
          <w:sz w:val="22"/>
        </w:rPr>
        <w:t>Represented the most bearish post-Q1 call; the stock has since rallied ~35% from UBS’s $32 target, suggesting the market has moved well past the UBS thesis.</w:t>
      </w:r>
    </w:p>
    <w:p>
      <w:pPr>
        <w:pStyle w:val="ListBullet"/>
        <w:ind w:left="360" w:hanging="360"/>
      </w:pPr>
      <w:r>
        <w:rPr>
          <w:rFonts w:ascii="Calibri" w:hAnsi="Calibri"/>
          <w:b/>
          <w:color w:val="525866"/>
          <w:sz w:val="22"/>
        </w:rPr>
        <w:t>June 23, 2026 — IP Announces Q2 2026 Earnings Date (July 30, 2026):</w:t>
      </w:r>
      <w:r>
        <w:rPr>
          <w:rFonts w:ascii="Calibri" w:hAnsi="Calibri"/>
          <w:color w:val="525866"/>
          <w:sz w:val="22"/>
        </w:rPr>
        <w:t xml:space="preserve"> Routine press release confirming earnings date. No new guidance or disclosures.</w:t>
      </w:r>
    </w:p>
    <w:p>
      <w:pPr>
        <w:pStyle w:val="ListBullet"/>
        <w:ind w:left="360" w:hanging="360"/>
      </w:pPr>
      <w:r>
        <w:rPr>
          <w:rFonts w:ascii="Calibri" w:hAnsi="Calibri"/>
          <w:b/>
          <w:color w:val="525866"/>
          <w:sz w:val="22"/>
        </w:rPr>
        <w:t>May 11, 2026 — Shareholder Meeting: Board, Auditor, and Executive Compensation Approved:</w:t>
      </w:r>
      <w:r>
        <w:rPr>
          <w:rFonts w:ascii="Calibri" w:hAnsi="Calibri"/>
          <w:color w:val="525866"/>
          <w:sz w:val="22"/>
        </w:rPr>
        <w:t xml:space="preserve"> Routine annual meeting approvals. No material surprises.</w:t>
      </w:r>
    </w:p>
    <w:p>
      <w:pPr>
        <w:pStyle w:val="ListBullet"/>
        <w:ind w:left="360" w:hanging="360"/>
      </w:pPr>
      <w:r>
        <w:rPr>
          <w:rFonts w:ascii="Calibri" w:hAnsi="Calibri"/>
          <w:b/>
          <w:color w:val="525866"/>
          <w:sz w:val="22"/>
        </w:rPr>
        <w:t>Ongoing — North American Containerboard Market Tightness:</w:t>
      </w:r>
      <w:r>
        <w:rPr>
          <w:rFonts w:ascii="Calibri" w:hAnsi="Calibri"/>
          <w:i/>
          <w:color w:val="525866"/>
          <w:sz w:val="22"/>
        </w:rPr>
        <w:t xml:space="preserve"> Industry data shows NA containerboard production had its largest drop in years in Q1 2026. A weather-related outage at IP’s Pine Hill, Alabama facility (&gt;2% of industry supply) may provide temporary pricing support. The Sylvamo supply contract expiration in April 2026 removed a source of above-expected costs. </w:t>
      </w:r>
      <w:r>
        <w:rPr>
          <w:rFonts w:ascii="Calibri" w:hAnsi="Calibri"/>
          <w:b/>
          <w:color w:val="525866"/>
          <w:sz w:val="22"/>
        </w:rPr>
        <w:t xml:space="preserve">Implication: </w:t>
      </w:r>
      <w:r>
        <w:rPr>
          <w:rFonts w:ascii="Calibri" w:hAnsi="Calibri"/>
          <w:color w:val="525866"/>
          <w:sz w:val="22"/>
        </w:rPr>
        <w:t>Tight supply conditions support IP’s pricing recovery thesis and reduce the risk of a volume miss.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 xml:space="preserve">The only notable open-market transaction is a </w:t>
      </w:r>
      <w:r>
        <w:rPr>
          <w:rFonts w:ascii="Calibri" w:hAnsi="Calibri"/>
          <w:b/>
          <w:color w:val="525866"/>
          <w:sz w:val="22"/>
        </w:rPr>
        <w:t>discretionary open-market buy by Director Scott Tozier on May 1, 2026 (10,000 shares at ~$31.50, ~$315K)</w:t>
      </w:r>
      <w:r>
        <w:rPr>
          <w:rFonts w:ascii="Calibri" w:hAnsi="Calibri"/>
          <w:color w:val="525866"/>
          <w:sz w:val="22"/>
        </w:rPr>
        <w:t xml:space="preserve"> — a meaningful signal of insider confidence at the post-Q1 lows; all other activity is routine director compensation grants (RSU/stock awards) with no open-market sales.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Tozier, Scott</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10,000 shares / ~$315K</w:t>
            </w:r>
          </w:p>
        </w:tc>
        <w:tc>
          <w:tcPr>
            <w:tcW w:type="dxa" w:w="1440"/>
          </w:tcPr>
          <w:p>
            <w:r>
              <w:rPr>
                <w:rFonts w:ascii="Calibri" w:hAnsi="Calibri"/>
                <w:sz w:val="22"/>
              </w:rPr>
              <w:t>May 1, 2026</w:t>
            </w:r>
          </w:p>
        </w:tc>
        <w:tc>
          <w:tcPr>
            <w:tcW w:type="dxa" w:w="1440"/>
          </w:tcPr>
          <w:p>
            <w:r>
              <w:rPr>
                <w:rFonts w:ascii="Calibri" w:hAnsi="Calibri"/>
                <w:sz w:val="22"/>
              </w:rPr>
              <w:t>Discretionary open-market purchase at post-Q1 lows (~$31.50); no 10b5-1 plan; meaningful signal of insider confidence at the trough</w:t>
            </w:r>
          </w:p>
        </w:tc>
      </w:tr>
      <w:tr>
        <w:tc>
          <w:tcPr>
            <w:tcW w:type="dxa" w:w="1440"/>
          </w:tcPr>
          <w:p>
            <w:r>
              <w:rPr>
                <w:rFonts w:ascii="Calibri" w:hAnsi="Calibri"/>
                <w:sz w:val="22"/>
              </w:rPr>
              <w:t>Beggs, Jamie A.</w:t>
            </w:r>
          </w:p>
        </w:tc>
        <w:tc>
          <w:tcPr>
            <w:tcW w:type="dxa" w:w="1440"/>
          </w:tcPr>
          <w:p>
            <w:r>
              <w:rPr>
                <w:rFonts w:ascii="Calibri" w:hAnsi="Calibri"/>
                <w:sz w:val="22"/>
              </w:rPr>
              <w:t>Director</w:t>
            </w:r>
          </w:p>
        </w:tc>
        <w:tc>
          <w:tcPr>
            <w:tcW w:type="dxa" w:w="1440"/>
          </w:tcPr>
          <w:p>
            <w:r>
              <w:rPr>
                <w:rFonts w:ascii="Calibri" w:hAnsi="Calibri"/>
                <w:sz w:val="22"/>
              </w:rPr>
              <w:t>RSU Award (Compensation)</w:t>
            </w:r>
          </w:p>
        </w:tc>
        <w:tc>
          <w:tcPr>
            <w:tcW w:type="dxa" w:w="1440"/>
          </w:tcPr>
          <w:p>
            <w:r>
              <w:rPr>
                <w:rFonts w:ascii="Calibri" w:hAnsi="Calibri"/>
                <w:sz w:val="22"/>
              </w:rPr>
              <w:t>10,506 RSUs</w:t>
            </w:r>
          </w:p>
        </w:tc>
        <w:tc>
          <w:tcPr>
            <w:tcW w:type="dxa" w:w="1440"/>
          </w:tcPr>
          <w:p>
            <w:r>
              <w:rPr>
                <w:rFonts w:ascii="Calibri" w:hAnsi="Calibri"/>
                <w:sz w:val="22"/>
              </w:rPr>
              <w:t>May 12, 2026</w:t>
            </w:r>
          </w:p>
        </w:tc>
        <w:tc>
          <w:tcPr>
            <w:tcW w:type="dxa" w:w="1440"/>
          </w:tcPr>
          <w:p>
            <w:r>
              <w:rPr>
                <w:rFonts w:ascii="Calibri" w:hAnsi="Calibri"/>
                <w:sz w:val="22"/>
              </w:rPr>
              <w:t>Routine annual director compensation grant; not a market signal</w:t>
            </w:r>
          </w:p>
        </w:tc>
      </w:tr>
      <w:tr>
        <w:tc>
          <w:tcPr>
            <w:tcW w:type="dxa" w:w="1440"/>
          </w:tcPr>
          <w:p>
            <w:r>
              <w:rPr>
                <w:rFonts w:ascii="Calibri" w:hAnsi="Calibri"/>
                <w:sz w:val="22"/>
              </w:rPr>
              <w:t>Connor, Christopher M.</w:t>
            </w:r>
          </w:p>
        </w:tc>
        <w:tc>
          <w:tcPr>
            <w:tcW w:type="dxa" w:w="1440"/>
          </w:tcPr>
          <w:p>
            <w:r>
              <w:rPr>
                <w:rFonts w:ascii="Calibri" w:hAnsi="Calibri"/>
                <w:sz w:val="22"/>
              </w:rPr>
              <w:t>Director</w:t>
            </w:r>
          </w:p>
        </w:tc>
        <w:tc>
          <w:tcPr>
            <w:tcW w:type="dxa" w:w="1440"/>
          </w:tcPr>
          <w:p>
            <w:r>
              <w:rPr>
                <w:rFonts w:ascii="Calibri" w:hAnsi="Calibri"/>
                <w:sz w:val="22"/>
              </w:rPr>
              <w:t>RSU Award (Compensation)</w:t>
            </w:r>
          </w:p>
        </w:tc>
        <w:tc>
          <w:tcPr>
            <w:tcW w:type="dxa" w:w="1440"/>
          </w:tcPr>
          <w:p>
            <w:r>
              <w:rPr>
                <w:rFonts w:ascii="Calibri" w:hAnsi="Calibri"/>
                <w:sz w:val="22"/>
              </w:rPr>
              <w:t>11,414 RSUs</w:t>
            </w:r>
          </w:p>
        </w:tc>
        <w:tc>
          <w:tcPr>
            <w:tcW w:type="dxa" w:w="1440"/>
          </w:tcPr>
          <w:p>
            <w:r>
              <w:rPr>
                <w:rFonts w:ascii="Calibri" w:hAnsi="Calibri"/>
                <w:sz w:val="22"/>
              </w:rPr>
              <w:t>May 12, 2026</w:t>
            </w:r>
          </w:p>
        </w:tc>
        <w:tc>
          <w:tcPr>
            <w:tcW w:type="dxa" w:w="1440"/>
          </w:tcPr>
          <w:p>
            <w:r>
              <w:rPr>
                <w:rFonts w:ascii="Calibri" w:hAnsi="Calibri"/>
                <w:sz w:val="22"/>
              </w:rPr>
              <w:t>Routine annual director compensation grant; not a market signal</w:t>
            </w:r>
          </w:p>
        </w:tc>
      </w:tr>
      <w:tr>
        <w:tc>
          <w:tcPr>
            <w:tcW w:type="dxa" w:w="1440"/>
          </w:tcPr>
          <w:p>
            <w:r>
              <w:rPr>
                <w:rFonts w:ascii="Calibri" w:hAnsi="Calibri"/>
                <w:sz w:val="22"/>
              </w:rPr>
              <w:t>Dorduncu, Ahmet C.</w:t>
            </w:r>
          </w:p>
        </w:tc>
        <w:tc>
          <w:tcPr>
            <w:tcW w:type="dxa" w:w="1440"/>
          </w:tcPr>
          <w:p>
            <w:r>
              <w:rPr>
                <w:rFonts w:ascii="Calibri" w:hAnsi="Calibri"/>
                <w:sz w:val="22"/>
              </w:rPr>
              <w:t>Director</w:t>
            </w:r>
          </w:p>
        </w:tc>
        <w:tc>
          <w:tcPr>
            <w:tcW w:type="dxa" w:w="1440"/>
          </w:tcPr>
          <w:p>
            <w:r>
              <w:rPr>
                <w:rFonts w:ascii="Calibri" w:hAnsi="Calibri"/>
                <w:sz w:val="22"/>
              </w:rPr>
              <w:t>Stock Award + Tax Withholding Sale</w:t>
            </w:r>
          </w:p>
        </w:tc>
        <w:tc>
          <w:tcPr>
            <w:tcW w:type="dxa" w:w="1440"/>
          </w:tcPr>
          <w:p>
            <w:r>
              <w:rPr>
                <w:rFonts w:ascii="Calibri" w:hAnsi="Calibri"/>
                <w:sz w:val="22"/>
              </w:rPr>
              <w:t>5,298 shares awarded; 1,186 shares withheld for taxes</w:t>
            </w:r>
          </w:p>
        </w:tc>
        <w:tc>
          <w:tcPr>
            <w:tcW w:type="dxa" w:w="1440"/>
          </w:tcPr>
          <w:p>
            <w:r>
              <w:rPr>
                <w:rFonts w:ascii="Calibri" w:hAnsi="Calibri"/>
                <w:sz w:val="22"/>
              </w:rPr>
              <w:t>May 12, 2026</w:t>
            </w:r>
          </w:p>
        </w:tc>
        <w:tc>
          <w:tcPr>
            <w:tcW w:type="dxa" w:w="1440"/>
          </w:tcPr>
          <w:p>
            <w:r>
              <w:rPr>
                <w:rFonts w:ascii="Calibri" w:hAnsi="Calibri"/>
                <w:sz w:val="22"/>
              </w:rPr>
              <w:t>Routine compensation; tax withholding sale is obligation-driven, not discretionary</w:t>
            </w:r>
          </w:p>
        </w:tc>
      </w:tr>
      <w:tr>
        <w:tc>
          <w:tcPr>
            <w:tcW w:type="dxa" w:w="1440"/>
          </w:tcPr>
          <w:p>
            <w:r>
              <w:rPr>
                <w:rFonts w:ascii="Calibri" w:hAnsi="Calibri"/>
                <w:sz w:val="22"/>
              </w:rPr>
              <w:t>Gustafsson, Anders</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11,112 shares</w:t>
            </w:r>
          </w:p>
        </w:tc>
        <w:tc>
          <w:tcPr>
            <w:tcW w:type="dxa" w:w="1440"/>
          </w:tcPr>
          <w:p>
            <w:r>
              <w:rPr>
                <w:rFonts w:ascii="Calibri" w:hAnsi="Calibri"/>
                <w:sz w:val="22"/>
              </w:rPr>
              <w:t>May 12, 2026</w:t>
            </w:r>
          </w:p>
        </w:tc>
        <w:tc>
          <w:tcPr>
            <w:tcW w:type="dxa" w:w="1440"/>
          </w:tcPr>
          <w:p>
            <w:r>
              <w:rPr>
                <w:rFonts w:ascii="Calibri" w:hAnsi="Calibri"/>
                <w:sz w:val="22"/>
              </w:rPr>
              <w:t>Routine annual director compensation grant; not a market signal</w:t>
            </w:r>
          </w:p>
        </w:tc>
      </w:tr>
      <w:tr>
        <w:tc>
          <w:tcPr>
            <w:tcW w:type="dxa" w:w="1440"/>
          </w:tcPr>
          <w:p>
            <w:r>
              <w:rPr>
                <w:rFonts w:ascii="Calibri" w:hAnsi="Calibri"/>
                <w:sz w:val="22"/>
              </w:rPr>
              <w:t>Hinman, Jacqueline C.</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5,298 shares</w:t>
            </w:r>
          </w:p>
        </w:tc>
        <w:tc>
          <w:tcPr>
            <w:tcW w:type="dxa" w:w="1440"/>
          </w:tcPr>
          <w:p>
            <w:r>
              <w:rPr>
                <w:rFonts w:ascii="Calibri" w:hAnsi="Calibri"/>
                <w:sz w:val="22"/>
              </w:rPr>
              <w:t>May 12, 2026</w:t>
            </w:r>
          </w:p>
        </w:tc>
        <w:tc>
          <w:tcPr>
            <w:tcW w:type="dxa" w:w="1440"/>
          </w:tcPr>
          <w:p>
            <w:r>
              <w:rPr>
                <w:rFonts w:ascii="Calibri" w:hAnsi="Calibri"/>
                <w:sz w:val="22"/>
              </w:rPr>
              <w:t>Routine annual director compensation grant; not a market signal</w:t>
            </w:r>
          </w:p>
        </w:tc>
      </w:tr>
      <w:tr>
        <w:tc>
          <w:tcPr>
            <w:tcW w:type="dxa" w:w="1440"/>
          </w:tcPr>
          <w:p>
            <w:r>
              <w:rPr>
                <w:rFonts w:ascii="Calibri" w:hAnsi="Calibri"/>
                <w:sz w:val="22"/>
              </w:rPr>
              <w:t>Lewis, Clinton A. Jr.</w:t>
            </w:r>
          </w:p>
        </w:tc>
        <w:tc>
          <w:tcPr>
            <w:tcW w:type="dxa" w:w="1440"/>
          </w:tcPr>
          <w:p>
            <w:r>
              <w:rPr>
                <w:rFonts w:ascii="Calibri" w:hAnsi="Calibri"/>
                <w:sz w:val="22"/>
              </w:rPr>
              <w:t>Director</w:t>
            </w:r>
          </w:p>
        </w:tc>
        <w:tc>
          <w:tcPr>
            <w:tcW w:type="dxa" w:w="1440"/>
          </w:tcPr>
          <w:p>
            <w:r>
              <w:rPr>
                <w:rFonts w:ascii="Calibri" w:hAnsi="Calibri"/>
                <w:sz w:val="22"/>
              </w:rPr>
              <w:t>RSU Award (Compensation)</w:t>
            </w:r>
          </w:p>
        </w:tc>
        <w:tc>
          <w:tcPr>
            <w:tcW w:type="dxa" w:w="1440"/>
          </w:tcPr>
          <w:p>
            <w:r>
              <w:rPr>
                <w:rFonts w:ascii="Calibri" w:hAnsi="Calibri"/>
                <w:sz w:val="22"/>
              </w:rPr>
              <w:t>10,809 RSUs</w:t>
            </w:r>
          </w:p>
        </w:tc>
        <w:tc>
          <w:tcPr>
            <w:tcW w:type="dxa" w:w="1440"/>
          </w:tcPr>
          <w:p>
            <w:r>
              <w:rPr>
                <w:rFonts w:ascii="Calibri" w:hAnsi="Calibri"/>
                <w:sz w:val="22"/>
              </w:rPr>
              <w:t>May 12, 2026</w:t>
            </w:r>
          </w:p>
        </w:tc>
        <w:tc>
          <w:tcPr>
            <w:tcW w:type="dxa" w:w="1440"/>
          </w:tcPr>
          <w:p>
            <w:r>
              <w:rPr>
                <w:rFonts w:ascii="Calibri" w:hAnsi="Calibri"/>
                <w:sz w:val="22"/>
              </w:rPr>
              <w:t>Routine annual director compensation grant; not a market signal</w:t>
            </w:r>
          </w:p>
        </w:tc>
      </w:tr>
      <w:tr>
        <w:tc>
          <w:tcPr>
            <w:tcW w:type="dxa" w:w="1440"/>
          </w:tcPr>
          <w:p>
            <w:r>
              <w:rPr>
                <w:rFonts w:ascii="Calibri" w:hAnsi="Calibri"/>
                <w:sz w:val="22"/>
              </w:rPr>
              <w:t>Robbie, David A.</w:t>
            </w:r>
          </w:p>
        </w:tc>
        <w:tc>
          <w:tcPr>
            <w:tcW w:type="dxa" w:w="1440"/>
          </w:tcPr>
          <w:p>
            <w:r>
              <w:rPr>
                <w:rFonts w:ascii="Calibri" w:hAnsi="Calibri"/>
                <w:sz w:val="22"/>
              </w:rPr>
              <w:t>Director</w:t>
            </w:r>
          </w:p>
        </w:tc>
        <w:tc>
          <w:tcPr>
            <w:tcW w:type="dxa" w:w="1440"/>
          </w:tcPr>
          <w:p>
            <w:r>
              <w:rPr>
                <w:rFonts w:ascii="Calibri" w:hAnsi="Calibri"/>
                <w:sz w:val="22"/>
              </w:rPr>
              <w:t>Stock Award + Tax Withholding Sale</w:t>
            </w:r>
          </w:p>
        </w:tc>
        <w:tc>
          <w:tcPr>
            <w:tcW w:type="dxa" w:w="1440"/>
          </w:tcPr>
          <w:p>
            <w:r>
              <w:rPr>
                <w:rFonts w:ascii="Calibri" w:hAnsi="Calibri"/>
                <w:sz w:val="22"/>
              </w:rPr>
              <w:t>5,298 shares awarded; 1,233 shares withheld for taxes</w:t>
            </w:r>
          </w:p>
        </w:tc>
        <w:tc>
          <w:tcPr>
            <w:tcW w:type="dxa" w:w="1440"/>
          </w:tcPr>
          <w:p>
            <w:r>
              <w:rPr>
                <w:rFonts w:ascii="Calibri" w:hAnsi="Calibri"/>
                <w:sz w:val="22"/>
              </w:rPr>
              <w:t>May 12, 2026</w:t>
            </w:r>
          </w:p>
        </w:tc>
        <w:tc>
          <w:tcPr>
            <w:tcW w:type="dxa" w:w="1440"/>
          </w:tcPr>
          <w:p>
            <w:r>
              <w:rPr>
                <w:rFonts w:ascii="Calibri" w:hAnsi="Calibri"/>
                <w:sz w:val="22"/>
              </w:rPr>
              <w:t>Routine compensation; tax withholding sale is obligation-driven, not discretionary</w:t>
            </w:r>
          </w:p>
        </w:tc>
      </w:tr>
      <w:tr>
        <w:tc>
          <w:tcPr>
            <w:tcW w:type="dxa" w:w="1440"/>
          </w:tcPr>
          <w:p>
            <w:r>
              <w:rPr>
                <w:rFonts w:ascii="Calibri" w:hAnsi="Calibri"/>
                <w:sz w:val="22"/>
              </w:rPr>
              <w:t>Sullivan, Kathryn D.</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7,901 shares</w:t>
            </w:r>
          </w:p>
        </w:tc>
        <w:tc>
          <w:tcPr>
            <w:tcW w:type="dxa" w:w="1440"/>
          </w:tcPr>
          <w:p>
            <w:r>
              <w:rPr>
                <w:rFonts w:ascii="Calibri" w:hAnsi="Calibri"/>
                <w:sz w:val="22"/>
              </w:rPr>
              <w:t>May 12, 2026</w:t>
            </w:r>
          </w:p>
        </w:tc>
        <w:tc>
          <w:tcPr>
            <w:tcW w:type="dxa" w:w="1440"/>
          </w:tcPr>
          <w:p>
            <w:r>
              <w:rPr>
                <w:rFonts w:ascii="Calibri" w:hAnsi="Calibri"/>
                <w:sz w:val="22"/>
              </w:rPr>
              <w:t>Routine annual director compensation grant; retiring end of 2026</w:t>
            </w:r>
          </w:p>
        </w:tc>
      </w:tr>
      <w:tr>
        <w:tc>
          <w:tcPr>
            <w:tcW w:type="dxa" w:w="1440"/>
          </w:tcPr>
          <w:p>
            <w:r>
              <w:rPr>
                <w:rFonts w:ascii="Calibri" w:hAnsi="Calibri"/>
                <w:sz w:val="22"/>
              </w:rPr>
              <w:t>Tozier, Scott</w:t>
            </w:r>
          </w:p>
        </w:tc>
        <w:tc>
          <w:tcPr>
            <w:tcW w:type="dxa" w:w="1440"/>
          </w:tcPr>
          <w:p>
            <w:r>
              <w:rPr>
                <w:rFonts w:ascii="Calibri" w:hAnsi="Calibri"/>
                <w:sz w:val="22"/>
              </w:rPr>
              <w:t>Director</w:t>
            </w:r>
          </w:p>
        </w:tc>
        <w:tc>
          <w:tcPr>
            <w:tcW w:type="dxa" w:w="1440"/>
          </w:tcPr>
          <w:p>
            <w:r>
              <w:rPr>
                <w:rFonts w:ascii="Calibri" w:hAnsi="Calibri"/>
                <w:sz w:val="22"/>
              </w:rPr>
              <w:t>RSU Award (Compensation)</w:t>
            </w:r>
          </w:p>
        </w:tc>
        <w:tc>
          <w:tcPr>
            <w:tcW w:type="dxa" w:w="1440"/>
          </w:tcPr>
          <w:p>
            <w:r>
              <w:rPr>
                <w:rFonts w:ascii="Calibri" w:hAnsi="Calibri"/>
                <w:sz w:val="22"/>
              </w:rPr>
              <w:t>5,298 RSUs</w:t>
            </w:r>
          </w:p>
        </w:tc>
        <w:tc>
          <w:tcPr>
            <w:tcW w:type="dxa" w:w="1440"/>
          </w:tcPr>
          <w:p>
            <w:r>
              <w:rPr>
                <w:rFonts w:ascii="Calibri" w:hAnsi="Calibri"/>
                <w:sz w:val="22"/>
              </w:rPr>
              <w:t>May 12, 2026</w:t>
            </w:r>
          </w:p>
        </w:tc>
        <w:tc>
          <w:tcPr>
            <w:tcW w:type="dxa" w:w="1440"/>
          </w:tcPr>
          <w:p>
            <w:r>
              <w:rPr>
                <w:rFonts w:ascii="Calibri" w:hAnsi="Calibri"/>
                <w:sz w:val="22"/>
              </w:rPr>
              <w:t>Routine annual director compensation grant; separate from May 1 open-market buy</w:t>
            </w:r>
          </w:p>
        </w:tc>
      </w:tr>
      <w:tr>
        <w:tc>
          <w:tcPr>
            <w:tcW w:type="dxa" w:w="1440"/>
          </w:tcPr>
          <w:p>
            <w:r>
              <w:rPr>
                <w:rFonts w:ascii="Calibri" w:hAnsi="Calibri"/>
                <w:sz w:val="22"/>
              </w:rPr>
              <w:t>Vincent, Anton V.</w:t>
            </w:r>
          </w:p>
        </w:tc>
        <w:tc>
          <w:tcPr>
            <w:tcW w:type="dxa" w:w="1440"/>
          </w:tcPr>
          <w:p>
            <w:r>
              <w:rPr>
                <w:rFonts w:ascii="Calibri" w:hAnsi="Calibri"/>
                <w:sz w:val="22"/>
              </w:rPr>
              <w:t>Director</w:t>
            </w:r>
          </w:p>
        </w:tc>
        <w:tc>
          <w:tcPr>
            <w:tcW w:type="dxa" w:w="1440"/>
          </w:tcPr>
          <w:p>
            <w:r>
              <w:rPr>
                <w:rFonts w:ascii="Calibri" w:hAnsi="Calibri"/>
                <w:sz w:val="22"/>
              </w:rPr>
              <w:t>RSU Award (Compensation)</w:t>
            </w:r>
          </w:p>
        </w:tc>
        <w:tc>
          <w:tcPr>
            <w:tcW w:type="dxa" w:w="1440"/>
          </w:tcPr>
          <w:p>
            <w:r>
              <w:rPr>
                <w:rFonts w:ascii="Calibri" w:hAnsi="Calibri"/>
                <w:sz w:val="22"/>
              </w:rPr>
              <w:t>10,203 RSUs</w:t>
            </w:r>
          </w:p>
        </w:tc>
        <w:tc>
          <w:tcPr>
            <w:tcW w:type="dxa" w:w="1440"/>
          </w:tcPr>
          <w:p>
            <w:r>
              <w:rPr>
                <w:rFonts w:ascii="Calibri" w:hAnsi="Calibri"/>
                <w:sz w:val="22"/>
              </w:rPr>
              <w:t>May 12, 2026</w:t>
            </w:r>
          </w:p>
        </w:tc>
        <w:tc>
          <w:tcPr>
            <w:tcW w:type="dxa" w:w="1440"/>
          </w:tcPr>
          <w:p>
            <w:r>
              <w:rPr>
                <w:rFonts w:ascii="Calibri" w:hAnsi="Calibri"/>
                <w:sz w:val="22"/>
              </w:rPr>
              <w:t>Routine annual director compensation grant; not a market signal</w:t>
            </w:r>
          </w:p>
        </w:tc>
      </w:tr>
    </w:tbl>
    <w:p>
      <w:r>
        <w:rPr>
          <w:rFonts w:ascii="Calibri" w:hAnsi="Calibri"/>
          <w:i/>
          <w:color w:val="525866"/>
          <w:sz w:val="22"/>
        </w:rPr>
        <w:t xml:space="preserve">Source: SEC Form 4 filings. </w:t>
      </w:r>
      <w:r>
        <w:rPr>
          <w:rFonts w:ascii="Calibri" w:hAnsi="Calibri"/>
          <w:i/>
          <w:color w:val="525866"/>
          <w:sz w:val="22"/>
        </w:rPr>
        <w:t>No open-market sales by executives or directors since the Q1 print. The sole discretionary open-market buy — Director Scott Tozier’s 10,000-share purchase on May 1 at the post-Q1 lows — is a constructive signal. No 10b5-1 plan initiations or Form 144 filings were identified in the period. The absence of executive (CEO/CFO) open-market transactions is notable but not unusual given the transformation/separation process and associated blackout periods.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