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International Paper (IP)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International Paper Company</w:t>
            </w:r>
          </w:p>
        </w:tc>
      </w:tr>
      <w:tr>
        <w:tc>
          <w:tcPr>
            <w:tcW w:type="dxa" w:w="4320"/>
          </w:tcPr>
          <w:p>
            <w:r>
              <w:rPr>
                <w:rFonts w:ascii="Calibri" w:hAnsi="Calibri"/>
                <w:b/>
                <w:sz w:val="22"/>
              </w:rPr>
              <w:t>Ticker</w:t>
            </w:r>
          </w:p>
        </w:tc>
        <w:tc>
          <w:tcPr>
            <w:tcW w:type="dxa" w:w="4320"/>
          </w:tcPr>
          <w:p>
            <w:r>
              <w:rPr>
                <w:rFonts w:ascii="Calibri" w:hAnsi="Calibri"/>
                <w:sz w:val="22"/>
              </w:rPr>
              <w:t>NYSE: IP | LSE: IPC</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Before Market Open | Webcast 10:00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Sector / ETF Benchmark</w:t>
            </w:r>
          </w:p>
        </w:tc>
        <w:tc>
          <w:tcPr>
            <w:tcW w:type="dxa" w:w="4320"/>
          </w:tcPr>
          <w:p>
            <w:r>
              <w:rPr>
                <w:rFonts w:ascii="Calibri" w:hAnsi="Calibri"/>
                <w:sz w:val="22"/>
              </w:rPr>
              <w:t>Materials — XLB (Materials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into Q2 is a </w:t>
      </w:r>
      <w:r>
        <w:rPr>
          <w:rFonts w:ascii="Calibri" w:hAnsi="Calibri"/>
          <w:b/>
          <w:color w:val="525866"/>
          <w:sz w:val="22"/>
        </w:rPr>
        <w:t>low bar with asymmetric upside</w:t>
      </w:r>
      <w:r>
        <w:rPr>
          <w:rFonts w:ascii="Calibri" w:hAnsi="Calibri"/>
          <w:color w:val="525866"/>
          <w:sz w:val="22"/>
        </w:rPr>
        <w:t xml:space="preserve"> — consensus EBITDA of ~$539M sits at the midpoint of management's $520–$570M guidance range, but a late-quarter containerboard price increase announcement and a J.P. Morgan upgrade signal the market is beginning to price in a recovery that has not yet shown up in numbers.</w:t>
      </w:r>
    </w:p>
    <w:p>
      <w:r>
        <w:rPr>
          <w:rFonts w:ascii="Calibri" w:hAnsi="Calibri"/>
          <w:color w:val="525866"/>
          <w:sz w:val="22"/>
        </w:rPr>
        <w:t xml:space="preserve">International Paper heads into its Q2 2026 print with the bar set modestly and the narrative shifting. Consensus Adjusted EBITDA of approximately </w:t>
      </w:r>
      <w:r>
        <w:rPr>
          <w:rFonts w:ascii="Calibri" w:hAnsi="Calibri"/>
          <w:b/>
          <w:color w:val="525866"/>
          <w:sz w:val="22"/>
        </w:rPr>
        <w:t>$539M</w:t>
      </w:r>
      <w:r>
        <w:rPr>
          <w:rFonts w:ascii="Calibri" w:hAnsi="Calibri"/>
          <w:color w:val="525866"/>
          <w:sz w:val="22"/>
        </w:rPr>
        <w:t xml:space="preserve"> sits squarely within management's $520–$570M guidance range, leaving little room for a dramatic beat but also limiting downside if execution is in-line. The guidance itself was set conservatively after a Q1 miss that management attributed to a combination of macro headwinds (diesel, chemicals, OCC inflation) and controllable execution gaps — management explicitly acknowledged missing its own internal targets and committed to building more cushion into forward guidance. Estimate revisions have been essentially flat since the Q1 print, with EBITDA for Q2 moving only from $534M to $539M over the past 10 weeks, suggesting the Street has largely digested the guidance cut and is waiting for proof of the H2 recovery bridge. The stock has rallied sharply — up roughly </w:t>
      </w:r>
      <w:r>
        <w:rPr>
          <w:rFonts w:ascii="Calibri" w:hAnsi="Calibri"/>
          <w:b/>
          <w:color w:val="525866"/>
          <w:sz w:val="22"/>
        </w:rPr>
        <w:t>+45% from its April 30 post-earnings low</w:t>
      </w:r>
      <w:r>
        <w:rPr>
          <w:rFonts w:ascii="Calibri" w:hAnsi="Calibri"/>
          <w:color w:val="525866"/>
          <w:sz w:val="22"/>
        </w:rPr>
        <w:t xml:space="preserve"> of $30.42 to ~$44 — driven almost entirely by multiple expansion and sentiment re-rating rather than estimate revisions, with the July 24–28 surge (+17% in three sessions) catalyzed by a reported $80/ton September containerboard price increase and a J.P. Morgan upgrade to Overweight. The single biggest wildcard for the print is whether management can credibly reaffirm the </w:t>
      </w:r>
      <w:r>
        <w:rPr>
          <w:rFonts w:ascii="Calibri" w:hAnsi="Calibri"/>
          <w:b/>
          <w:color w:val="525866"/>
          <w:sz w:val="22"/>
        </w:rPr>
        <w:t>H2 step-up bridge</w:t>
      </w:r>
      <w:r>
        <w:rPr>
          <w:rFonts w:ascii="Calibri" w:hAnsi="Calibri"/>
          <w:color w:val="525866"/>
          <w:sz w:val="22"/>
        </w:rPr>
        <w:t xml:space="preserve"> — specifically the $650M sequential EBITDA improvement in North America and the EMEA margin recovery from peak Q2 compression — given that the stock has already priced in a meaningful portion of that recovery.</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Dimension</w:t>
            </w:r>
          </w:p>
        </w:tc>
        <w:tc>
          <w:tcPr>
            <w:tcW w:type="dxa" w:w="4320"/>
          </w:tcPr>
          <w:p>
            <w:r>
              <w:rPr>
                <w:rFonts w:ascii="Calibri" w:hAnsi="Calibri"/>
                <w:b/>
                <w:sz w:val="22"/>
              </w:rPr>
              <w:t>Assessment</w:t>
            </w:r>
          </w:p>
        </w:tc>
      </w:tr>
      <w:tr>
        <w:tc>
          <w:tcPr>
            <w:tcW w:type="dxa" w:w="4320"/>
          </w:tcPr>
          <w:p>
            <w:r>
              <w:rPr>
                <w:rFonts w:ascii="Calibri" w:hAnsi="Calibri"/>
                <w:sz w:val="22"/>
              </w:rPr>
              <w:t>Bar</w:t>
            </w:r>
          </w:p>
        </w:tc>
        <w:tc>
          <w:tcPr>
            <w:tcW w:type="dxa" w:w="4320"/>
          </w:tcPr>
          <w:p>
            <w:r>
              <w:rPr>
                <w:rFonts w:ascii="Calibri" w:hAnsi="Calibri"/>
                <w:sz w:val="22"/>
              </w:rPr>
              <w:t>Low-to-fair. Consensus EBITDA ~$539M is at the midpoint of the $520–$570M guidance range. EPS consensus is -$0.03, implying near-zero profitability — any operational outperformance could flip to positive.</w:t>
            </w:r>
          </w:p>
        </w:tc>
      </w:tr>
      <w:tr>
        <w:tc>
          <w:tcPr>
            <w:tcW w:type="dxa" w:w="4320"/>
          </w:tcPr>
          <w:p>
            <w:r>
              <w:rPr>
                <w:rFonts w:ascii="Calibri" w:hAnsi="Calibri"/>
                <w:sz w:val="22"/>
              </w:rPr>
              <w:t>Guidance / Tone</w:t>
            </w:r>
          </w:p>
        </w:tc>
        <w:tc>
          <w:tcPr>
            <w:tcW w:type="dxa" w:w="4320"/>
          </w:tcPr>
          <w:p>
            <w:r>
              <w:rPr>
                <w:rFonts w:ascii="Calibri" w:hAnsi="Calibri"/>
                <w:sz w:val="22"/>
              </w:rPr>
              <w:t>Cautious but committed. Management cut FY2026 EBITDA guidance from $3.5–$3.7B to $3.2–$3.5B at Q1 and reaffirmed the $5B 2027 target. Tone shifted from celebrating proof points to acknowledging execution gaps while reaffirming strategic pillars.</w:t>
            </w:r>
          </w:p>
        </w:tc>
      </w:tr>
      <w:tr>
        <w:tc>
          <w:tcPr>
            <w:tcW w:type="dxa" w:w="4320"/>
          </w:tcPr>
          <w:p>
            <w:r>
              <w:rPr>
                <w:rFonts w:ascii="Calibri" w:hAnsi="Calibri"/>
                <w:sz w:val="22"/>
              </w:rPr>
              <w:t>Estimate Trajectory</w:t>
            </w:r>
          </w:p>
        </w:tc>
        <w:tc>
          <w:tcPr>
            <w:tcW w:type="dxa" w:w="4320"/>
          </w:tcPr>
          <w:p>
            <w:r>
              <w:rPr>
                <w:rFonts w:ascii="Calibri" w:hAnsi="Calibri"/>
                <w:sz w:val="22"/>
              </w:rPr>
              <w:t>Flat post-Q1. Q2 EBITDA consensus moved from $534M (post-Q1 baseline) to $539M currently — a modest +$5M drift upward. FY2026 EBITDA moved from $3.22B to $3.23B. Revisions are not tracking the H2 recovery thesis yet.</w:t>
            </w:r>
          </w:p>
        </w:tc>
      </w:tr>
      <w:tr>
        <w:tc>
          <w:tcPr>
            <w:tcW w:type="dxa" w:w="4320"/>
          </w:tcPr>
          <w:p>
            <w:r>
              <w:rPr>
                <w:rFonts w:ascii="Calibri" w:hAnsi="Calibri"/>
                <w:sz w:val="22"/>
              </w:rPr>
              <w:t>Stock Setup</w:t>
            </w:r>
          </w:p>
        </w:tc>
        <w:tc>
          <w:tcPr>
            <w:tcW w:type="dxa" w:w="4320"/>
          </w:tcPr>
          <w:p>
            <w:r>
              <w:rPr>
                <w:rFonts w:ascii="Calibri" w:hAnsi="Calibri"/>
                <w:sz w:val="22"/>
              </w:rPr>
              <w:t>Sentiment-driven rally. IP is up ~45% from post-Q1 lows, with the recent surge driven by the $80/ton September price increase announcement and JPM upgrade. EV/EBITDA has re-rated from ~7.0x to ~8.2x NTM. The stock has priced in a recovery; execution must now follow.</w:t>
            </w:r>
          </w:p>
        </w:tc>
      </w:tr>
      <w:tr>
        <w:tc>
          <w:tcPr>
            <w:tcW w:type="dxa" w:w="4320"/>
          </w:tcPr>
          <w:p>
            <w:r>
              <w:rPr>
                <w:rFonts w:ascii="Calibri" w:hAnsi="Calibri"/>
                <w:sz w:val="22"/>
              </w:rPr>
              <w:t>Wildcard</w:t>
            </w:r>
          </w:p>
        </w:tc>
        <w:tc>
          <w:tcPr>
            <w:tcW w:type="dxa" w:w="4320"/>
          </w:tcPr>
          <w:p>
            <w:r>
              <w:rPr>
                <w:rFonts w:ascii="Calibri" w:hAnsi="Calibri"/>
                <w:sz w:val="22"/>
              </w:rPr>
              <w:t>H2 bridge credibility. Management's ability to reaffirm the $650M North America H2 step-up and EMEA margin recovery trajectory — and whether the $80/ton September price increase is confirmed on the call — is the single biggest swing factor for the stock post-print.</w:t>
            </w:r>
          </w:p>
        </w:tc>
      </w:tr>
    </w:tbl>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w:t>
      </w:r>
      <w:r>
        <w:rPr>
          <w:rFonts w:ascii="Calibri" w:hAnsi="Calibri"/>
          <w:b/>
          <w:color w:val="525866"/>
          <w:sz w:val="22"/>
        </w:rPr>
        <w:t>manageable bar</w:t>
      </w:r>
      <w:r>
        <w:rPr>
          <w:rFonts w:ascii="Calibri" w:hAnsi="Calibri"/>
          <w:color w:val="525866"/>
          <w:sz w:val="22"/>
        </w:rPr>
        <w:t xml:space="preserve"> on EBITDA (~$539M vs. guidance midpoint of $545M), but the bigger swing factor is </w:t>
      </w:r>
      <w:r>
        <w:rPr>
          <w:rFonts w:ascii="Calibri" w:hAnsi="Calibri"/>
          <w:b/>
          <w:color w:val="525866"/>
          <w:sz w:val="22"/>
        </w:rPr>
        <w:t>North American volume</w:t>
      </w:r>
      <w:r>
        <w:rPr>
          <w:rFonts w:ascii="Calibri" w:hAnsi="Calibri"/>
          <w:color w:val="525866"/>
          <w:sz w:val="22"/>
        </w:rPr>
        <w:t xml:space="preserve"> — if IP can sustain its above-market growth trajectory (+3% guided for Q2) while EMEA shows sequential improvement from Q1's -$51M operating loss, the print could surprise positively on the EBITDA line even without a pricing tailwind.</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Revenue ($B)</w:t>
            </w:r>
          </w:p>
        </w:tc>
        <w:tc>
          <w:tcPr>
            <w:tcW w:type="dxa" w:w="1234"/>
          </w:tcPr>
          <w:p>
            <w:r>
              <w:rPr>
                <w:rFonts w:ascii="Calibri" w:hAnsi="Calibri"/>
                <w:sz w:val="22"/>
              </w:rPr>
              <w:t>$5.97B</w:t>
            </w:r>
          </w:p>
        </w:tc>
        <w:tc>
          <w:tcPr>
            <w:tcW w:type="dxa" w:w="1234"/>
          </w:tcPr>
          <w:p>
            <w:r>
              <w:rPr>
                <w:rFonts w:ascii="Calibri" w:hAnsi="Calibri"/>
                <w:sz w:val="22"/>
              </w:rPr>
              <w:t>$6.77B</w:t>
            </w:r>
          </w:p>
        </w:tc>
        <w:tc>
          <w:tcPr>
            <w:tcW w:type="dxa" w:w="1234"/>
          </w:tcPr>
          <w:p>
            <w:r>
              <w:rPr>
                <w:rFonts w:ascii="Calibri" w:hAnsi="Calibri"/>
                <w:sz w:val="22"/>
              </w:rPr>
              <w:t>$6.21B</w:t>
            </w:r>
          </w:p>
        </w:tc>
        <w:tc>
          <w:tcPr>
            <w:tcW w:type="dxa" w:w="1234"/>
          </w:tcPr>
          <w:p>
            <w:r>
              <w:rPr>
                <w:rFonts w:ascii="Calibri" w:hAnsi="Calibri"/>
                <w:sz w:val="22"/>
              </w:rPr>
              <w:t>-8.2%</w:t>
            </w:r>
          </w:p>
        </w:tc>
        <w:tc>
          <w:tcPr>
            <w:tcW w:type="dxa" w:w="1234"/>
          </w:tcPr>
          <w:p>
            <w:r>
              <w:rPr>
                <w:rFonts w:ascii="Calibri" w:hAnsi="Calibri"/>
                <w:sz w:val="22"/>
              </w:rPr>
              <w:t>N/A (not provided)</w:t>
            </w:r>
          </w:p>
        </w:tc>
        <w:tc>
          <w:tcPr>
            <w:tcW w:type="dxa" w:w="1234"/>
          </w:tcPr>
          <w:p>
            <w:r>
              <w:rPr>
                <w:rFonts w:ascii="Calibri" w:hAnsi="Calibri"/>
                <w:sz w:val="22"/>
              </w:rPr>
              <w:t>N/A</w:t>
            </w:r>
          </w:p>
        </w:tc>
      </w:tr>
      <w:tr>
        <w:tc>
          <w:tcPr>
            <w:tcW w:type="dxa" w:w="1234"/>
          </w:tcPr>
          <w:p>
            <w:r>
              <w:rPr>
                <w:rFonts w:ascii="Calibri" w:hAnsi="Calibri"/>
                <w:sz w:val="22"/>
              </w:rPr>
              <w:t>Adj. EBITDA — Operating ($M)</w:t>
            </w:r>
          </w:p>
        </w:tc>
        <w:tc>
          <w:tcPr>
            <w:tcW w:type="dxa" w:w="1234"/>
          </w:tcPr>
          <w:p>
            <w:r>
              <w:rPr>
                <w:rFonts w:ascii="Calibri" w:hAnsi="Calibri"/>
                <w:sz w:val="22"/>
              </w:rPr>
              <w:t>$677M</w:t>
            </w:r>
          </w:p>
        </w:tc>
        <w:tc>
          <w:tcPr>
            <w:tcW w:type="dxa" w:w="1234"/>
          </w:tcPr>
          <w:p>
            <w:r>
              <w:rPr>
                <w:rFonts w:ascii="Calibri" w:hAnsi="Calibri"/>
                <w:sz w:val="22"/>
              </w:rPr>
              <w:t>$733M</w:t>
            </w:r>
          </w:p>
        </w:tc>
        <w:tc>
          <w:tcPr>
            <w:tcW w:type="dxa" w:w="1234"/>
          </w:tcPr>
          <w:p>
            <w:r>
              <w:rPr>
                <w:rFonts w:ascii="Calibri" w:hAnsi="Calibri"/>
                <w:sz w:val="22"/>
              </w:rPr>
              <w:t>$539M</w:t>
            </w:r>
          </w:p>
        </w:tc>
        <w:tc>
          <w:tcPr>
            <w:tcW w:type="dxa" w:w="1234"/>
          </w:tcPr>
          <w:p>
            <w:r>
              <w:rPr>
                <w:rFonts w:ascii="Calibri" w:hAnsi="Calibri"/>
                <w:b/>
                <w:color w:val="E5484D"/>
                <w:sz w:val="22"/>
              </w:rPr>
              <w:t>-26.5%</w:t>
            </w:r>
          </w:p>
        </w:tc>
        <w:tc>
          <w:tcPr>
            <w:tcW w:type="dxa" w:w="1234"/>
          </w:tcPr>
          <w:p>
            <w:r>
              <w:rPr>
                <w:rFonts w:ascii="Calibri" w:hAnsi="Calibri"/>
                <w:sz w:val="22"/>
              </w:rPr>
              <w:t>$520–$570M (midpoint $545M)</w:t>
            </w:r>
          </w:p>
        </w:tc>
        <w:tc>
          <w:tcPr>
            <w:tcW w:type="dxa" w:w="1234"/>
          </w:tcPr>
          <w:p>
            <w:r>
              <w:rPr>
                <w:rFonts w:ascii="Calibri" w:hAnsi="Calibri"/>
                <w:sz w:val="22"/>
              </w:rPr>
              <w:t>-1.1%</w:t>
            </w:r>
          </w:p>
        </w:tc>
      </w:tr>
      <w:tr>
        <w:tc>
          <w:tcPr>
            <w:tcW w:type="dxa" w:w="1234"/>
          </w:tcPr>
          <w:p>
            <w:r>
              <w:rPr>
                <w:rFonts w:ascii="Calibri" w:hAnsi="Calibri"/>
                <w:sz w:val="22"/>
              </w:rPr>
              <w:t>EPS — Diluted Operating ($)</w:t>
            </w:r>
          </w:p>
        </w:tc>
        <w:tc>
          <w:tcPr>
            <w:tcW w:type="dxa" w:w="1234"/>
          </w:tcPr>
          <w:p>
            <w:r>
              <w:rPr>
                <w:rFonts w:ascii="Calibri" w:hAnsi="Calibri"/>
                <w:sz w:val="22"/>
              </w:rPr>
              <w:t>$0.15</w:t>
            </w:r>
          </w:p>
        </w:tc>
        <w:tc>
          <w:tcPr>
            <w:tcW w:type="dxa" w:w="1234"/>
          </w:tcPr>
          <w:p>
            <w:r>
              <w:rPr>
                <w:rFonts w:ascii="Calibri" w:hAnsi="Calibri"/>
                <w:sz w:val="22"/>
              </w:rPr>
              <w:t>$0.20</w:t>
            </w:r>
          </w:p>
        </w:tc>
        <w:tc>
          <w:tcPr>
            <w:tcW w:type="dxa" w:w="1234"/>
          </w:tcPr>
          <w:p>
            <w:r>
              <w:rPr>
                <w:rFonts w:ascii="Calibri" w:hAnsi="Calibri"/>
                <w:sz w:val="22"/>
              </w:rPr>
              <w:t>-$0.03</w:t>
            </w:r>
          </w:p>
        </w:tc>
        <w:tc>
          <w:tcPr>
            <w:tcW w:type="dxa" w:w="1234"/>
          </w:tcPr>
          <w:p>
            <w:r>
              <w:rPr>
                <w:rFonts w:ascii="Calibri" w:hAnsi="Calibri"/>
                <w:b/>
                <w:color w:val="E5484D"/>
                <w:sz w:val="22"/>
              </w:rPr>
              <w:t>N/M</w:t>
            </w:r>
          </w:p>
        </w:tc>
        <w:tc>
          <w:tcPr>
            <w:tcW w:type="dxa" w:w="1234"/>
          </w:tcPr>
          <w:p>
            <w:r>
              <w:rPr>
                <w:rFonts w:ascii="Calibri" w:hAnsi="Calibri"/>
                <w:sz w:val="22"/>
              </w:rPr>
              <w:t>$(19)M–$31M net income (implies ~-$0.04 to +$0.08 EPS)</w:t>
            </w:r>
          </w:p>
        </w:tc>
        <w:tc>
          <w:tcPr>
            <w:tcW w:type="dxa" w:w="1234"/>
          </w:tcPr>
          <w:p>
            <w:r>
              <w:rPr>
                <w:rFonts w:ascii="Calibri" w:hAnsi="Calibri"/>
                <w:sz w:val="22"/>
              </w:rPr>
              <w:t>~At midpoint</w:t>
            </w:r>
          </w:p>
        </w:tc>
      </w:tr>
      <w:tr>
        <w:tc>
          <w:tcPr>
            <w:tcW w:type="dxa" w:w="1234"/>
          </w:tcPr>
          <w:p>
            <w:r>
              <w:rPr>
                <w:rFonts w:ascii="Calibri" w:hAnsi="Calibri"/>
                <w:sz w:val="22"/>
              </w:rPr>
              <w:t>NA Packaging Volume (Kshort ton)</w:t>
            </w:r>
          </w:p>
        </w:tc>
        <w:tc>
          <w:tcPr>
            <w:tcW w:type="dxa" w:w="1234"/>
          </w:tcPr>
          <w:p>
            <w:r>
              <w:rPr>
                <w:rFonts w:ascii="Calibri" w:hAnsi="Calibri"/>
                <w:sz w:val="22"/>
              </w:rPr>
              <w:t>3,301 Kst</w:t>
            </w:r>
          </w:p>
        </w:tc>
        <w:tc>
          <w:tcPr>
            <w:tcW w:type="dxa" w:w="1234"/>
          </w:tcPr>
          <w:p>
            <w:r>
              <w:rPr>
                <w:rFonts w:ascii="Calibri" w:hAnsi="Calibri"/>
                <w:sz w:val="22"/>
              </w:rPr>
              <w:t>3,613 Kst</w:t>
            </w:r>
          </w:p>
        </w:tc>
        <w:tc>
          <w:tcPr>
            <w:tcW w:type="dxa" w:w="1234"/>
          </w:tcPr>
          <w:p>
            <w:r>
              <w:rPr>
                <w:rFonts w:ascii="Calibri" w:hAnsi="Calibri"/>
                <w:sz w:val="22"/>
              </w:rPr>
              <w:t>3,471 Kst</w:t>
            </w:r>
          </w:p>
        </w:tc>
        <w:tc>
          <w:tcPr>
            <w:tcW w:type="dxa" w:w="1234"/>
          </w:tcPr>
          <w:p>
            <w:r>
              <w:rPr>
                <w:rFonts w:ascii="Calibri" w:hAnsi="Calibri"/>
                <w:sz w:val="22"/>
              </w:rPr>
              <w:t>-4.0%</w:t>
            </w:r>
          </w:p>
        </w:tc>
        <w:tc>
          <w:tcPr>
            <w:tcW w:type="dxa" w:w="1234"/>
          </w:tcPr>
          <w:p>
            <w:r>
              <w:rPr>
                <w:rFonts w:ascii="Calibri" w:hAnsi="Calibri"/>
                <w:sz w:val="22"/>
              </w:rPr>
              <w:t>~+3% YoY (above-market growth guided)</w:t>
            </w:r>
          </w:p>
        </w:tc>
        <w:tc>
          <w:tcPr>
            <w:tcW w:type="dxa" w:w="1234"/>
          </w:tcPr>
          <w:p>
            <w:r>
              <w:rPr>
                <w:rFonts w:ascii="Calibri" w:hAnsi="Calibri"/>
                <w:sz w:val="22"/>
              </w:rPr>
              <w:t>~In-line</w:t>
            </w:r>
          </w:p>
        </w:tc>
      </w:tr>
      <w:tr>
        <w:tc>
          <w:tcPr>
            <w:tcW w:type="dxa" w:w="1234"/>
          </w:tcPr>
          <w:p>
            <w:r>
              <w:rPr>
                <w:rFonts w:ascii="Calibri" w:hAnsi="Calibri"/>
                <w:sz w:val="22"/>
              </w:rPr>
              <w:t>EMEA Packaging Volume (Kshort ton)</w:t>
            </w:r>
          </w:p>
        </w:tc>
        <w:tc>
          <w:tcPr>
            <w:tcW w:type="dxa" w:w="1234"/>
          </w:tcPr>
          <w:p>
            <w:r>
              <w:rPr>
                <w:rFonts w:ascii="Calibri" w:hAnsi="Calibri"/>
                <w:sz w:val="22"/>
              </w:rPr>
              <w:t>1,799 Kst</w:t>
            </w:r>
          </w:p>
        </w:tc>
        <w:tc>
          <w:tcPr>
            <w:tcW w:type="dxa" w:w="1234"/>
          </w:tcPr>
          <w:p>
            <w:r>
              <w:rPr>
                <w:rFonts w:ascii="Calibri" w:hAnsi="Calibri"/>
                <w:sz w:val="22"/>
              </w:rPr>
              <w:t>1,837 Kst</w:t>
            </w:r>
          </w:p>
        </w:tc>
        <w:tc>
          <w:tcPr>
            <w:tcW w:type="dxa" w:w="1234"/>
          </w:tcPr>
          <w:p>
            <w:r>
              <w:rPr>
                <w:rFonts w:ascii="Calibri" w:hAnsi="Calibri"/>
                <w:sz w:val="22"/>
              </w:rPr>
              <w:t>1,856 Kst</w:t>
            </w:r>
          </w:p>
        </w:tc>
        <w:tc>
          <w:tcPr>
            <w:tcW w:type="dxa" w:w="1234"/>
          </w:tcPr>
          <w:p>
            <w:r>
              <w:rPr>
                <w:rFonts w:ascii="Calibri" w:hAnsi="Calibri"/>
                <w:sz w:val="22"/>
              </w:rPr>
              <w:t>+1.0%</w:t>
            </w:r>
          </w:p>
        </w:tc>
        <w:tc>
          <w:tcPr>
            <w:tcW w:type="dxa" w:w="1234"/>
          </w:tcPr>
          <w:p>
            <w:r>
              <w:rPr>
                <w:rFonts w:ascii="Calibri" w:hAnsi="Calibri"/>
                <w:sz w:val="22"/>
              </w:rPr>
              <w:t>Favorable sequentially (customer wins onboarding)</w:t>
            </w:r>
          </w:p>
        </w:tc>
        <w:tc>
          <w:tcPr>
            <w:tcW w:type="dxa" w:w="1234"/>
          </w:tcPr>
          <w:p>
            <w:r>
              <w:rPr>
                <w:rFonts w:ascii="Calibri" w:hAnsi="Calibri"/>
                <w:sz w:val="22"/>
              </w:rPr>
              <w:t>~In-line</w:t>
            </w:r>
          </w:p>
        </w:tc>
      </w:tr>
      <w:tr>
        <w:tc>
          <w:tcPr>
            <w:tcW w:type="dxa" w:w="1234"/>
          </w:tcPr>
          <w:p>
            <w:r>
              <w:rPr>
                <w:rFonts w:ascii="Calibri" w:hAnsi="Calibri"/>
                <w:sz w:val="22"/>
              </w:rPr>
              <w:t>Free Cash Flow ($M)</w:t>
            </w:r>
          </w:p>
        </w:tc>
        <w:tc>
          <w:tcPr>
            <w:tcW w:type="dxa" w:w="1234"/>
          </w:tcPr>
          <w:p>
            <w:r>
              <w:rPr>
                <w:rFonts w:ascii="Calibri" w:hAnsi="Calibri"/>
                <w:sz w:val="22"/>
              </w:rPr>
              <w:t>$94M (incl. $280M tax refund)</w:t>
            </w:r>
          </w:p>
        </w:tc>
        <w:tc>
          <w:tcPr>
            <w:tcW w:type="dxa" w:w="1234"/>
          </w:tcPr>
          <w:p>
            <w:r>
              <w:rPr>
                <w:rFonts w:ascii="Calibri" w:hAnsi="Calibri"/>
                <w:sz w:val="22"/>
              </w:rPr>
              <w:t>$54M</w:t>
            </w:r>
          </w:p>
        </w:tc>
        <w:tc>
          <w:tcPr>
            <w:tcW w:type="dxa" w:w="1234"/>
          </w:tcPr>
          <w:p>
            <w:r>
              <w:rPr>
                <w:rFonts w:ascii="Calibri" w:hAnsi="Calibri"/>
                <w:sz w:val="22"/>
              </w:rPr>
              <w:t>$557M</w:t>
            </w:r>
          </w:p>
        </w:tc>
        <w:tc>
          <w:tcPr>
            <w:tcW w:type="dxa" w:w="1234"/>
          </w:tcPr>
          <w:p>
            <w:r>
              <w:rPr>
                <w:rFonts w:ascii="Calibri" w:hAnsi="Calibri"/>
                <w:sz w:val="22"/>
              </w:rPr>
              <w:t>N/M (large swing)</w:t>
            </w:r>
          </w:p>
        </w:tc>
        <w:tc>
          <w:tcPr>
            <w:tcW w:type="dxa" w:w="1234"/>
          </w:tcPr>
          <w:p>
            <w:r>
              <w:rPr>
                <w:rFonts w:ascii="Calibri" w:hAnsi="Calibri"/>
                <w:sz w:val="22"/>
              </w:rPr>
              <w:t>FY2026: $300–$500M (Q2 not separately guided)</w:t>
            </w:r>
          </w:p>
        </w:tc>
        <w:tc>
          <w:tcPr>
            <w:tcW w:type="dxa" w:w="1234"/>
          </w:tcPr>
          <w:p>
            <w:r>
              <w:rPr>
                <w:rFonts w:ascii="Calibri" w:hAnsi="Calibri"/>
                <w:sz w:val="22"/>
              </w:rPr>
              <w:t>N/A (FY only)</w:t>
            </w:r>
          </w:p>
        </w:tc>
      </w:tr>
    </w:tbl>
    <w:p>
      <w:r>
        <w:rPr>
          <w:rFonts w:ascii="Calibri" w:hAnsi="Calibri"/>
          <w:b/>
          <w:color w:val="525866"/>
          <w:sz w:val="22"/>
        </w:rPr>
        <w:t xml:space="preserve">Sources: </w:t>
      </w:r>
      <w:r>
        <w:rPr>
          <w:rFonts w:ascii="Calibri" w:hAnsi="Calibri"/>
          <w:color w:val="525866"/>
          <w:sz w:val="22"/>
        </w:rPr>
        <w:t>Net Revenue, Adj. EBITDA — Operating, EPS — Diluted Operating, NA Packaging Volume, EMEA Packaging Volume, Free Cash Flow: Visible Alpha Consensus and Actuals Data (https://insights.visiblealpha.com/mex/IP/NMV/SG, /IS, /IP, /CF). Q2 2026 guidance from IP Q1 2026 Earnings Release and Transcript (April 30, 2026). Note: Q2 2026 FCF consensus of $557M appears elevated relative to the FY guidance of $300–$500M and likely reflects timing/modeling differences across analysts; treat as indicative only.</w:t>
      </w:r>
    </w:p>
    <w:p>
      <w:pPr>
        <w:pStyle w:val="Heading2"/>
      </w:pPr>
      <w:r>
        <w:rPr>
          <w:rFonts w:ascii="Calibri" w:hAnsi="Calibri"/>
          <w:b/>
          <w:color w:val="3B4259"/>
          <w:sz w:val="28"/>
        </w:rPr>
        <w:t>Table 2 — Beat / Miss History (Last 8 Quarters, Top 2 KPIs)</w:t>
      </w:r>
    </w:p>
    <w:p>
      <w:r>
        <w:rPr>
          <w:rFonts w:ascii="Calibri" w:hAnsi="Calibri"/>
          <w:b/>
          <w:color w:val="525866"/>
          <w:sz w:val="22"/>
        </w:rPr>
        <w:t>KPI 1: Adj. EBITDA — Operating | KPI 2: EPS — Diluted Operating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$677M</w:t>
            </w:r>
          </w:p>
        </w:tc>
        <w:tc>
          <w:tcPr>
            <w:tcW w:type="dxa" w:w="1440"/>
          </w:tcPr>
          <w:p>
            <w:r>
              <w:rPr>
                <w:rFonts w:ascii="Calibri" w:hAnsi="Calibri"/>
                <w:sz w:val="22"/>
              </w:rPr>
              <w:t>$706M</w:t>
            </w:r>
          </w:p>
        </w:tc>
        <w:tc>
          <w:tcPr>
            <w:tcW w:type="dxa" w:w="1440"/>
          </w:tcPr>
          <w:p>
            <w:r>
              <w:rPr>
                <w:rFonts w:ascii="Calibri" w:hAnsi="Calibri"/>
                <w:b/>
                <w:color w:val="E5484D"/>
                <w:sz w:val="22"/>
              </w:rPr>
              <w:t>-4.1%</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EPS (Diluted Op.)</w:t>
            </w:r>
          </w:p>
        </w:tc>
        <w:tc>
          <w:tcPr>
            <w:tcW w:type="dxa" w:w="1440"/>
          </w:tcPr>
          <w:p>
            <w:r>
              <w:rPr>
                <w:rFonts w:ascii="Calibri" w:hAnsi="Calibri"/>
                <w:sz w:val="22"/>
              </w:rPr>
              <w:t>$0.15</w:t>
            </w:r>
          </w:p>
        </w:tc>
        <w:tc>
          <w:tcPr>
            <w:tcW w:type="dxa" w:w="1440"/>
          </w:tcPr>
          <w:p>
            <w:r>
              <w:rPr>
                <w:rFonts w:ascii="Calibri" w:hAnsi="Calibri"/>
                <w:sz w:val="22"/>
              </w:rPr>
              <w:t>$0.15</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$758M</w:t>
            </w:r>
          </w:p>
        </w:tc>
        <w:tc>
          <w:tcPr>
            <w:tcW w:type="dxa" w:w="1440"/>
          </w:tcPr>
          <w:p>
            <w:r>
              <w:rPr>
                <w:rFonts w:ascii="Calibri" w:hAnsi="Calibri"/>
                <w:sz w:val="22"/>
              </w:rPr>
              <w:t>$776M</w:t>
            </w:r>
          </w:p>
        </w:tc>
        <w:tc>
          <w:tcPr>
            <w:tcW w:type="dxa" w:w="1440"/>
          </w:tcPr>
          <w:p>
            <w:r>
              <w:rPr>
                <w:rFonts w:ascii="Calibri" w:hAnsi="Calibri"/>
                <w:b/>
                <w:color w:val="E5484D"/>
                <w:sz w:val="22"/>
              </w:rPr>
              <w:t>-2.3%</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EPS (Diluted Op.)</w:t>
            </w:r>
          </w:p>
        </w:tc>
        <w:tc>
          <w:tcPr>
            <w:tcW w:type="dxa" w:w="1440"/>
          </w:tcPr>
          <w:p>
            <w:r>
              <w:rPr>
                <w:rFonts w:ascii="Calibri" w:hAnsi="Calibri"/>
                <w:sz w:val="22"/>
              </w:rPr>
              <w:t>-$0.08</w:t>
            </w:r>
          </w:p>
        </w:tc>
        <w:tc>
          <w:tcPr>
            <w:tcW w:type="dxa" w:w="1440"/>
          </w:tcPr>
          <w:p>
            <w:r>
              <w:rPr>
                <w:rFonts w:ascii="Calibri" w:hAnsi="Calibri"/>
                <w:sz w:val="22"/>
              </w:rPr>
              <w:t>$0.26</w:t>
            </w:r>
          </w:p>
        </w:tc>
        <w:tc>
          <w:tcPr>
            <w:tcW w:type="dxa" w:w="1440"/>
          </w:tcPr>
          <w:p>
            <w:r>
              <w:rPr>
                <w:rFonts w:ascii="Calibri" w:hAnsi="Calibri"/>
                <w:b/>
                <w:color w:val="E5484D"/>
                <w:sz w:val="22"/>
              </w:rPr>
              <w:t>N/M</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$859M</w:t>
            </w:r>
          </w:p>
        </w:tc>
        <w:tc>
          <w:tcPr>
            <w:tcW w:type="dxa" w:w="1440"/>
          </w:tcPr>
          <w:p>
            <w:r>
              <w:rPr>
                <w:rFonts w:ascii="Calibri" w:hAnsi="Calibri"/>
                <w:sz w:val="22"/>
              </w:rPr>
              <w:t>$933M</w:t>
            </w:r>
          </w:p>
        </w:tc>
        <w:tc>
          <w:tcPr>
            <w:tcW w:type="dxa" w:w="1440"/>
          </w:tcPr>
          <w:p>
            <w:r>
              <w:rPr>
                <w:rFonts w:ascii="Calibri" w:hAnsi="Calibri"/>
                <w:b/>
                <w:color w:val="E5484D"/>
                <w:sz w:val="22"/>
              </w:rPr>
              <w:t>-7.9%</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EPS (Diluted Op.)</w:t>
            </w:r>
          </w:p>
        </w:tc>
        <w:tc>
          <w:tcPr>
            <w:tcW w:type="dxa" w:w="1440"/>
          </w:tcPr>
          <w:p>
            <w:r>
              <w:rPr>
                <w:rFonts w:ascii="Calibri" w:hAnsi="Calibri"/>
                <w:sz w:val="22"/>
              </w:rPr>
              <w:t>-$0.43</w:t>
            </w:r>
          </w:p>
        </w:tc>
        <w:tc>
          <w:tcPr>
            <w:tcW w:type="dxa" w:w="1440"/>
          </w:tcPr>
          <w:p>
            <w:r>
              <w:rPr>
                <w:rFonts w:ascii="Calibri" w:hAnsi="Calibri"/>
                <w:sz w:val="22"/>
              </w:rPr>
              <w:t>$0.46</w:t>
            </w:r>
          </w:p>
        </w:tc>
        <w:tc>
          <w:tcPr>
            <w:tcW w:type="dxa" w:w="1440"/>
          </w:tcPr>
          <w:p>
            <w:r>
              <w:rPr>
                <w:rFonts w:ascii="Calibri" w:hAnsi="Calibri"/>
                <w:b/>
                <w:color w:val="E5484D"/>
                <w:sz w:val="22"/>
              </w:rPr>
              <w:t>N/M</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$733M</w:t>
            </w:r>
          </w:p>
        </w:tc>
        <w:tc>
          <w:tcPr>
            <w:tcW w:type="dxa" w:w="1440"/>
          </w:tcPr>
          <w:p>
            <w:r>
              <w:rPr>
                <w:rFonts w:ascii="Calibri" w:hAnsi="Calibri"/>
                <w:sz w:val="22"/>
              </w:rPr>
              <w:t>$777M</w:t>
            </w:r>
          </w:p>
        </w:tc>
        <w:tc>
          <w:tcPr>
            <w:tcW w:type="dxa" w:w="1440"/>
          </w:tcPr>
          <w:p>
            <w:r>
              <w:rPr>
                <w:rFonts w:ascii="Calibri" w:hAnsi="Calibri"/>
                <w:b/>
                <w:color w:val="E5484D"/>
                <w:sz w:val="22"/>
              </w:rPr>
              <w:t>-5.7%</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EPS (Diluted Op.)</w:t>
            </w:r>
          </w:p>
        </w:tc>
        <w:tc>
          <w:tcPr>
            <w:tcW w:type="dxa" w:w="1440"/>
          </w:tcPr>
          <w:p>
            <w:r>
              <w:rPr>
                <w:rFonts w:ascii="Calibri" w:hAnsi="Calibri"/>
                <w:sz w:val="22"/>
              </w:rPr>
              <w:t>$0.20</w:t>
            </w:r>
          </w:p>
        </w:tc>
        <w:tc>
          <w:tcPr>
            <w:tcW w:type="dxa" w:w="1440"/>
          </w:tcPr>
          <w:p>
            <w:r>
              <w:rPr>
                <w:rFonts w:ascii="Calibri" w:hAnsi="Calibri"/>
                <w:sz w:val="22"/>
              </w:rPr>
              <w:t>$0.39</w:t>
            </w:r>
          </w:p>
        </w:tc>
        <w:tc>
          <w:tcPr>
            <w:tcW w:type="dxa" w:w="1440"/>
          </w:tcPr>
          <w:p>
            <w:r>
              <w:rPr>
                <w:rFonts w:ascii="Calibri" w:hAnsi="Calibri"/>
                <w:b/>
                <w:color w:val="E5484D"/>
                <w:sz w:val="22"/>
              </w:rPr>
              <w:t>-48.7%</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$769M</w:t>
            </w:r>
          </w:p>
        </w:tc>
        <w:tc>
          <w:tcPr>
            <w:tcW w:type="dxa" w:w="1440"/>
          </w:tcPr>
          <w:p>
            <w:r>
              <w:rPr>
                <w:rFonts w:ascii="Calibri" w:hAnsi="Calibri"/>
                <w:sz w:val="22"/>
              </w:rPr>
              <w:t>$680M</w:t>
            </w:r>
          </w:p>
        </w:tc>
        <w:tc>
          <w:tcPr>
            <w:tcW w:type="dxa" w:w="1440"/>
          </w:tcPr>
          <w:p>
            <w:r>
              <w:rPr>
                <w:rFonts w:ascii="Calibri" w:hAnsi="Calibri"/>
                <w:b/>
                <w:color w:val="30A46C"/>
                <w:sz w:val="22"/>
              </w:rPr>
              <w:t>+13.1%</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EPS (Diluted Op.)</w:t>
            </w:r>
          </w:p>
        </w:tc>
        <w:tc>
          <w:tcPr>
            <w:tcW w:type="dxa" w:w="1440"/>
          </w:tcPr>
          <w:p>
            <w:r>
              <w:rPr>
                <w:rFonts w:ascii="Calibri" w:hAnsi="Calibri"/>
                <w:sz w:val="22"/>
              </w:rPr>
              <w:t>$0.23</w:t>
            </w:r>
          </w:p>
        </w:tc>
        <w:tc>
          <w:tcPr>
            <w:tcW w:type="dxa" w:w="1440"/>
          </w:tcPr>
          <w:p>
            <w:r>
              <w:rPr>
                <w:rFonts w:ascii="Calibri" w:hAnsi="Calibri"/>
                <w:sz w:val="22"/>
              </w:rPr>
              <w:t>$0.38</w:t>
            </w:r>
          </w:p>
        </w:tc>
        <w:tc>
          <w:tcPr>
            <w:tcW w:type="dxa" w:w="1440"/>
          </w:tcPr>
          <w:p>
            <w:r>
              <w:rPr>
                <w:rFonts w:ascii="Calibri" w:hAnsi="Calibri"/>
                <w:b/>
                <w:color w:val="E5484D"/>
                <w:sz w:val="22"/>
              </w:rPr>
              <w:t>-39.5%</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$505M</w:t>
            </w:r>
          </w:p>
        </w:tc>
        <w:tc>
          <w:tcPr>
            <w:tcW w:type="dxa" w:w="1440"/>
          </w:tcPr>
          <w:p>
            <w:r>
              <w:rPr>
                <w:rFonts w:ascii="Calibri" w:hAnsi="Calibri"/>
                <w:sz w:val="22"/>
              </w:rPr>
              <w:t>$533M</w:t>
            </w:r>
          </w:p>
        </w:tc>
        <w:tc>
          <w:tcPr>
            <w:tcW w:type="dxa" w:w="1440"/>
          </w:tcPr>
          <w:p>
            <w:r>
              <w:rPr>
                <w:rFonts w:ascii="Calibri" w:hAnsi="Calibri"/>
                <w:b/>
                <w:color w:val="E5484D"/>
                <w:sz w:val="22"/>
              </w:rPr>
              <w:t>-5.3%</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EPS (Diluted Op.)</w:t>
            </w:r>
          </w:p>
        </w:tc>
        <w:tc>
          <w:tcPr>
            <w:tcW w:type="dxa" w:w="1440"/>
          </w:tcPr>
          <w:p>
            <w:r>
              <w:rPr>
                <w:rFonts w:ascii="Calibri" w:hAnsi="Calibri"/>
                <w:sz w:val="22"/>
              </w:rPr>
              <w:t>-$0.02</w:t>
            </w:r>
          </w:p>
        </w:tc>
        <w:tc>
          <w:tcPr>
            <w:tcW w:type="dxa" w:w="1440"/>
          </w:tcPr>
          <w:p>
            <w:r>
              <w:rPr>
                <w:rFonts w:ascii="Calibri" w:hAnsi="Calibri"/>
                <w:sz w:val="22"/>
              </w:rPr>
              <w:t>$0.00</w:t>
            </w:r>
          </w:p>
        </w:tc>
        <w:tc>
          <w:tcPr>
            <w:tcW w:type="dxa" w:w="1440"/>
          </w:tcPr>
          <w:p>
            <w:r>
              <w:rPr>
                <w:rFonts w:ascii="Calibri" w:hAnsi="Calibri"/>
                <w:sz w:val="22"/>
              </w:rPr>
              <w:t>N/M</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$500M</w:t>
            </w:r>
          </w:p>
        </w:tc>
        <w:tc>
          <w:tcPr>
            <w:tcW w:type="dxa" w:w="1440"/>
          </w:tcPr>
          <w:p>
            <w:r>
              <w:rPr>
                <w:rFonts w:ascii="Calibri" w:hAnsi="Calibri"/>
                <w:sz w:val="22"/>
              </w:rPr>
              <w:t>$429M</w:t>
            </w:r>
          </w:p>
        </w:tc>
        <w:tc>
          <w:tcPr>
            <w:tcW w:type="dxa" w:w="1440"/>
          </w:tcPr>
          <w:p>
            <w:r>
              <w:rPr>
                <w:rFonts w:ascii="Calibri" w:hAnsi="Calibri"/>
                <w:b/>
                <w:color w:val="30A46C"/>
                <w:sz w:val="22"/>
              </w:rPr>
              <w:t>+16.6%</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EPS (Diluted Op.)</w:t>
            </w:r>
          </w:p>
        </w:tc>
        <w:tc>
          <w:tcPr>
            <w:tcW w:type="dxa" w:w="1440"/>
          </w:tcPr>
          <w:p>
            <w:r>
              <w:rPr>
                <w:rFonts w:ascii="Calibri" w:hAnsi="Calibri"/>
                <w:sz w:val="22"/>
              </w:rPr>
              <w:t>$0.44</w:t>
            </w:r>
          </w:p>
        </w:tc>
        <w:tc>
          <w:tcPr>
            <w:tcW w:type="dxa" w:w="1440"/>
          </w:tcPr>
          <w:p>
            <w:r>
              <w:rPr>
                <w:rFonts w:ascii="Calibri" w:hAnsi="Calibri"/>
                <w:sz w:val="22"/>
              </w:rPr>
              <w:t>$0.25</w:t>
            </w:r>
          </w:p>
        </w:tc>
        <w:tc>
          <w:tcPr>
            <w:tcW w:type="dxa" w:w="1440"/>
          </w:tcPr>
          <w:p>
            <w:r>
              <w:rPr>
                <w:rFonts w:ascii="Calibri" w:hAnsi="Calibri"/>
                <w:b/>
                <w:color w:val="30A46C"/>
                <w:sz w:val="22"/>
              </w:rPr>
              <w:t>+76.1%</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IP has missed Adj. EBITDA consensus in 5 of the last 8 quarters, with the two beats (Q3 2024 and Q1 2025) occurring in the early post-DS Smith integration period when estimates were set conservatively; the more recent trend (Q2–Q4 2025 and Q1 2026) is a consistent pattern of misses driven by transformation costs and macro headwinds, making the Q2 2026 print a critical test of whether management's more conservative guidance-setting approach has finally created a beatable bar.</w:t>
      </w:r>
    </w:p>
    <w:p>
      <w:r>
        <w:rPr>
          <w:rFonts w:ascii="Calibri" w:hAnsi="Calibri"/>
          <w:b/>
          <w:color w:val="525866"/>
          <w:sz w:val="22"/>
        </w:rPr>
        <w:t xml:space="preserve">Source: </w:t>
      </w:r>
      <w:r>
        <w:rPr>
          <w:rFonts w:ascii="Calibri" w:hAnsi="Calibri"/>
          <w:color w:val="525866"/>
          <w:sz w:val="22"/>
        </w:rPr>
        <w:t>Visible Alpha Consensus and Actuals Data (https://insights.visiblealpha.com/mex/IP/NMV/SG, /IS).</w:t>
      </w:r>
    </w:p>
    <w:p>
      <w:r>
        <w:rPr>
          <w:rFonts w:ascii="Calibri" w:hAnsi="Calibri"/>
          <w:b/>
          <w:color w:val="525866"/>
          <w:sz w:val="22"/>
        </w:rPr>
        <w:t xml:space="preserve">Source: </w:t>
      </w:r>
      <w:r>
        <w:rPr>
          <w:rFonts w:ascii="Calibri" w:hAnsi="Calibri"/>
          <w:color w:val="525866"/>
          <w:sz w:val="22"/>
        </w:rPr>
        <w:t>IP Q1 2026 Earnings Release and Transcript (April 30, 2026); Visible Alpha Consensus and Actuals Data (https://insights.visiblealpha.com/mex/IP/NMV/SG, /CF).</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essentially frozen since the Q1 print</w:t>
      </w:r>
      <w:r>
        <w:rPr>
          <w:rFonts w:ascii="Calibri" w:hAnsi="Calibri"/>
          <w:color w:val="525866"/>
          <w:sz w:val="22"/>
        </w:rPr>
        <w:t xml:space="preserve"> — Q2 EBITDA consensus moved only +$5M and FY2026 EBITDA moved only +$14M over 10 weeks, suggesting the Street is waiting for Q2 results to validate the H2 recovery thesis before revising higher. The gap between current consensus ($3.23B) and the guidance midpoint ($3.35B) represents a </w:t>
      </w:r>
      <w:r>
        <w:rPr>
          <w:rFonts w:ascii="Calibri" w:hAnsi="Calibri"/>
          <w:b/>
          <w:color w:val="525866"/>
          <w:sz w:val="22"/>
        </w:rPr>
        <w:t>~$120M cushion</w:t>
      </w:r>
      <w:r>
        <w:rPr>
          <w:rFonts w:ascii="Calibri" w:hAnsi="Calibri"/>
          <w:color w:val="525866"/>
          <w:sz w:val="22"/>
        </w:rPr>
        <w:t xml:space="preserve"> that could close quickly if management reaffirms the bridge and confirms the September price increase.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8,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Adj. EBITDA — Operating (Q2 2026)</w:t>
            </w:r>
          </w:p>
        </w:tc>
        <w:tc>
          <w:tcPr>
            <w:tcW w:type="dxa" w:w="1080"/>
          </w:tcPr>
          <w:p>
            <w:r>
              <w:rPr>
                <w:rFonts w:ascii="Calibri" w:hAnsi="Calibri"/>
                <w:sz w:val="22"/>
              </w:rPr>
              <w:t>$534M</w:t>
            </w:r>
          </w:p>
        </w:tc>
        <w:tc>
          <w:tcPr>
            <w:tcW w:type="dxa" w:w="1080"/>
          </w:tcPr>
          <w:p>
            <w:r>
              <w:rPr>
                <w:rFonts w:ascii="Calibri" w:hAnsi="Calibri"/>
                <w:sz w:val="22"/>
              </w:rPr>
              <w:t>$539M</w:t>
            </w:r>
          </w:p>
        </w:tc>
        <w:tc>
          <w:tcPr>
            <w:tcW w:type="dxa" w:w="1080"/>
          </w:tcPr>
          <w:p>
            <w:r>
              <w:rPr>
                <w:rFonts w:ascii="Calibri" w:hAnsi="Calibri"/>
                <w:b/>
                <w:color w:val="30A46C"/>
                <w:sz w:val="22"/>
              </w:rPr>
              <w:t>+0.9%</w:t>
            </w:r>
          </w:p>
        </w:tc>
        <w:tc>
          <w:tcPr>
            <w:tcW w:type="dxa" w:w="1080"/>
          </w:tcPr>
          <w:p>
            <w:r>
              <w:rPr>
                <w:rFonts w:ascii="Calibri" w:hAnsi="Calibri"/>
                <w:sz w:val="22"/>
              </w:rPr>
              <w:t>$520–$570M ($545M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w:t>
            </w:r>
          </w:p>
        </w:tc>
      </w:tr>
      <w:tr>
        <w:tc>
          <w:tcPr>
            <w:tcW w:type="dxa" w:w="1080"/>
          </w:tcPr>
          <w:p>
            <w:r>
              <w:rPr>
                <w:rFonts w:ascii="Calibri" w:hAnsi="Calibri"/>
                <w:sz w:val="22"/>
              </w:rPr>
              <w:t>EPS — Diluted Operating (Q2 2026)</w:t>
            </w:r>
          </w:p>
        </w:tc>
        <w:tc>
          <w:tcPr>
            <w:tcW w:type="dxa" w:w="1080"/>
          </w:tcPr>
          <w:p>
            <w:r>
              <w:rPr>
                <w:rFonts w:ascii="Calibri" w:hAnsi="Calibri"/>
                <w:sz w:val="22"/>
              </w:rPr>
              <w:t>-$0.040</w:t>
            </w:r>
          </w:p>
        </w:tc>
        <w:tc>
          <w:tcPr>
            <w:tcW w:type="dxa" w:w="1080"/>
          </w:tcPr>
          <w:p>
            <w:r>
              <w:rPr>
                <w:rFonts w:ascii="Calibri" w:hAnsi="Calibri"/>
                <w:sz w:val="22"/>
              </w:rPr>
              <w:t>-$0.034</w:t>
            </w:r>
          </w:p>
        </w:tc>
        <w:tc>
          <w:tcPr>
            <w:tcW w:type="dxa" w:w="1080"/>
          </w:tcPr>
          <w:p>
            <w:r>
              <w:rPr>
                <w:rFonts w:ascii="Calibri" w:hAnsi="Calibri"/>
                <w:b/>
                <w:color w:val="30A46C"/>
                <w:sz w:val="22"/>
              </w:rPr>
              <w:t>+15.0%</w:t>
            </w:r>
          </w:p>
        </w:tc>
        <w:tc>
          <w:tcPr>
            <w:tcW w:type="dxa" w:w="1080"/>
          </w:tcPr>
          <w:p>
            <w:r>
              <w:rPr>
                <w:rFonts w:ascii="Calibri" w:hAnsi="Calibri"/>
                <w:sz w:val="22"/>
              </w:rPr>
              <w:t>$(19)M–$31M net income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w:t>
            </w:r>
          </w:p>
        </w:tc>
      </w:tr>
      <w:tr>
        <w:tc>
          <w:tcPr>
            <w:tcW w:type="dxa" w:w="1080"/>
          </w:tcPr>
          <w:p>
            <w:r>
              <w:rPr>
                <w:rFonts w:ascii="Calibri" w:hAnsi="Calibri"/>
                <w:sz w:val="22"/>
              </w:rPr>
              <w:t>Adj. EBITDA — Operating (FY2026)</w:t>
            </w:r>
          </w:p>
        </w:tc>
        <w:tc>
          <w:tcPr>
            <w:tcW w:type="dxa" w:w="1080"/>
          </w:tcPr>
          <w:p>
            <w:r>
              <w:rPr>
                <w:rFonts w:ascii="Calibri" w:hAnsi="Calibri"/>
                <w:sz w:val="22"/>
              </w:rPr>
              <w:t>$3,220M</w:t>
            </w:r>
          </w:p>
        </w:tc>
        <w:tc>
          <w:tcPr>
            <w:tcW w:type="dxa" w:w="1080"/>
          </w:tcPr>
          <w:p>
            <w:r>
              <w:rPr>
                <w:rFonts w:ascii="Calibri" w:hAnsi="Calibri"/>
                <w:sz w:val="22"/>
              </w:rPr>
              <w:t>$3,234M</w:t>
            </w:r>
          </w:p>
        </w:tc>
        <w:tc>
          <w:tcPr>
            <w:tcW w:type="dxa" w:w="1080"/>
          </w:tcPr>
          <w:p>
            <w:r>
              <w:rPr>
                <w:rFonts w:ascii="Calibri" w:hAnsi="Calibri"/>
                <w:sz w:val="22"/>
              </w:rPr>
              <w:t>+0.4%</w:t>
            </w:r>
          </w:p>
        </w:tc>
        <w:tc>
          <w:tcPr>
            <w:tcW w:type="dxa" w:w="1080"/>
          </w:tcPr>
          <w:p>
            <w:r>
              <w:rPr>
                <w:rFonts w:ascii="Calibri" w:hAnsi="Calibri"/>
                <w:sz w:val="22"/>
              </w:rPr>
              <w:t>$3,200–$3,500M ($3,350M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-3.5% (at low end of range)</w:t>
            </w:r>
          </w:p>
        </w:tc>
      </w:tr>
      <w:tr>
        <w:tc>
          <w:tcPr>
            <w:tcW w:type="dxa" w:w="1080"/>
          </w:tcPr>
          <w:p>
            <w:r>
              <w:rPr>
                <w:rFonts w:ascii="Calibri" w:hAnsi="Calibri"/>
                <w:sz w:val="22"/>
              </w:rPr>
              <w:t>EPS — Diluted Operating (FY2026)</w:t>
            </w:r>
          </w:p>
        </w:tc>
        <w:tc>
          <w:tcPr>
            <w:tcW w:type="dxa" w:w="1080"/>
          </w:tcPr>
          <w:p>
            <w:r>
              <w:rPr>
                <w:rFonts w:ascii="Calibri" w:hAnsi="Calibri"/>
                <w:sz w:val="22"/>
              </w:rPr>
              <w:t>$1.352</w:t>
            </w:r>
          </w:p>
        </w:tc>
        <w:tc>
          <w:tcPr>
            <w:tcW w:type="dxa" w:w="1080"/>
          </w:tcPr>
          <w:p>
            <w:r>
              <w:rPr>
                <w:rFonts w:ascii="Calibri" w:hAnsi="Calibri"/>
                <w:sz w:val="22"/>
              </w:rPr>
              <w:t>$1.361</w:t>
            </w:r>
          </w:p>
        </w:tc>
        <w:tc>
          <w:tcPr>
            <w:tcW w:type="dxa" w:w="1080"/>
          </w:tcPr>
          <w:p>
            <w:r>
              <w:rPr>
                <w:rFonts w:ascii="Calibri" w:hAnsi="Calibri"/>
                <w:sz w:val="22"/>
              </w:rPr>
              <w:t>+0.7%</w:t>
            </w:r>
          </w:p>
        </w:tc>
        <w:tc>
          <w:tcPr>
            <w:tcW w:type="dxa" w:w="1080"/>
          </w:tcPr>
          <w:p>
            <w:r>
              <w:rPr>
                <w:rFonts w:ascii="Calibri" w:hAnsi="Calibri"/>
                <w:sz w:val="22"/>
              </w:rPr>
              <w:t>N/A (not separately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The revision history shows a market in a holding pattern — the Street has not revised estimates meaningfully in either direction since the Q1 print, suggesting analysts are treating the guidance range as credible but are not willing to move to the midpoint or above until Q2 results confirm the H2 step-up is on track. The modest upward drift in Q2 EPS (+15% from -$0.040 to -$0.034) likely reflects the mid-July price increase news rather than fundamental model changes. A confirmed $80/ton September price increase on the Q2 call could catalyze a meaningful upward revision to FY2026 estimates, potentially closing the gap to the guidance midpoint.</w:t>
      </w:r>
    </w:p>
    <w:p>
      <w:r>
        <w:rPr>
          <w:rFonts w:ascii="Calibri" w:hAnsi="Calibri"/>
          <w:b/>
          <w:color w:val="525866"/>
          <w:sz w:val="22"/>
        </w:rPr>
        <w:t xml:space="preserve">Source: </w:t>
      </w:r>
      <w:r>
        <w:rPr>
          <w:rFonts w:ascii="Calibri" w:hAnsi="Calibri"/>
          <w:color w:val="525866"/>
          <w:sz w:val="22"/>
        </w:rPr>
        <w:t>Visible Alpha Consensus and Actuals Data — revision history (https://insights.visiblealpha.com/mex/IP/NMV/SG, /IS); IP Q1 2026 Earnings Transcript (April 30,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IP's post-Q1 performance has been </w:t>
      </w:r>
      <w:r>
        <w:rPr>
          <w:rFonts w:ascii="Calibri" w:hAnsi="Calibri"/>
          <w:b/>
          <w:color w:val="525866"/>
          <w:sz w:val="22"/>
        </w:rPr>
        <w:t>entirely sentiment and multiple-driven</w:t>
      </w:r>
      <w:r>
        <w:rPr>
          <w:rFonts w:ascii="Calibri" w:hAnsi="Calibri"/>
          <w:color w:val="525866"/>
          <w:sz w:val="22"/>
        </w:rPr>
        <w:t xml:space="preserve"> — the stock fell ~16% on the Q1 print (April 30), then staged a +45% recovery from the low, with the bulk of the recovery driven by EV/EBITDA multiple expansion from ~7.0x to ~8.2x NTM rather than estimate revisions. The XLB (Materials ETF) and S&amp;P 500 have been broadly flat over the same period, making IP's recovery a company-specific re-rating story.</w:t>
      </w:r>
    </w:p>
    <w:p>
      <w:pPr>
        <w:pStyle w:val="Heading2"/>
      </w:pPr>
      <w:r>
        <w:rPr>
          <w:rFonts w:ascii="Calibri" w:hAnsi="Calibri"/>
          <w:b/>
          <w:color w:val="3B4259"/>
          <w:sz w:val="28"/>
        </w:rPr>
        <w:t>IP vs. XLB vs. S&amp;P 500 — Indexed Performance Since April 30, 2026 (Last Earnings Date)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IP (Indexed)</w:t>
            </w:r>
          </w:p>
        </w:tc>
        <w:tc>
          <w:tcPr>
            <w:tcW w:type="dxa" w:w="1728"/>
            <w:shd w:val="clear" w:color="auto" w:fill="3B4259"/>
          </w:tcPr>
          <w:p>
            <w:r>
              <w:rPr>
                <w:rFonts w:ascii="Calibri" w:hAnsi="Calibri"/>
                <w:b/>
                <w:color w:val="FFFFFF"/>
                <w:sz w:val="22"/>
              </w:rPr>
              <w:t>XLB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Apr 30 (Q1 Earnings)</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guidance cut; stock -16% on day</w:t>
            </w:r>
          </w:p>
        </w:tc>
      </w:tr>
      <w:tr>
        <w:tc>
          <w:tcPr>
            <w:tcW w:type="dxa" w:w="1728"/>
          </w:tcPr>
          <w:p>
            <w:r>
              <w:rPr>
                <w:rFonts w:ascii="Calibri" w:hAnsi="Calibri"/>
                <w:sz w:val="22"/>
              </w:rPr>
              <w:t>May 8</w:t>
            </w:r>
          </w:p>
        </w:tc>
        <w:tc>
          <w:tcPr>
            <w:tcW w:type="dxa" w:w="1728"/>
          </w:tcPr>
          <w:p>
            <w:r>
              <w:rPr>
                <w:rFonts w:ascii="Calibri" w:hAnsi="Calibri"/>
                <w:sz w:val="22"/>
              </w:rPr>
              <w:t>108.6</w:t>
            </w:r>
          </w:p>
        </w:tc>
        <w:tc>
          <w:tcPr>
            <w:tcW w:type="dxa" w:w="1728"/>
          </w:tcPr>
          <w:p>
            <w:r>
              <w:rPr>
                <w:rFonts w:ascii="Calibri" w:hAnsi="Calibri"/>
                <w:sz w:val="22"/>
              </w:rPr>
              <w:t>100.2</w:t>
            </w:r>
          </w:p>
        </w:tc>
        <w:tc>
          <w:tcPr>
            <w:tcW w:type="dxa" w:w="1728"/>
          </w:tcPr>
          <w:p>
            <w:r>
              <w:rPr>
                <w:rFonts w:ascii="Calibri" w:hAnsi="Calibri"/>
                <w:sz w:val="22"/>
              </w:rPr>
              <w:t>102.6</w:t>
            </w:r>
          </w:p>
        </w:tc>
        <w:tc>
          <w:tcPr>
            <w:tcW w:type="dxa" w:w="1728"/>
          </w:tcPr>
          <w:p>
            <w:r>
              <w:rPr>
                <w:rFonts w:ascii="Calibri" w:hAnsi="Calibri"/>
                <w:sz w:val="22"/>
              </w:rPr>
              <w:t>Post-earnings stabilization; Scott Tozier (Director) buys 10,000 shares at ~$31.30</w:t>
            </w:r>
          </w:p>
        </w:tc>
      </w:tr>
      <w:tr>
        <w:tc>
          <w:tcPr>
            <w:tcW w:type="dxa" w:w="1728"/>
          </w:tcPr>
          <w:p>
            <w:r>
              <w:rPr>
                <w:rFonts w:ascii="Calibri" w:hAnsi="Calibri"/>
                <w:sz w:val="22"/>
              </w:rPr>
              <w:t>May 19</w:t>
            </w:r>
          </w:p>
        </w:tc>
        <w:tc>
          <w:tcPr>
            <w:tcW w:type="dxa" w:w="1728"/>
          </w:tcPr>
          <w:p>
            <w:r>
              <w:rPr>
                <w:rFonts w:ascii="Calibri" w:hAnsi="Calibri"/>
                <w:sz w:val="22"/>
              </w:rPr>
              <w:t>96.6</w:t>
            </w:r>
          </w:p>
        </w:tc>
        <w:tc>
          <w:tcPr>
            <w:tcW w:type="dxa" w:w="1728"/>
          </w:tcPr>
          <w:p>
            <w:r>
              <w:rPr>
                <w:rFonts w:ascii="Calibri" w:hAnsi="Calibri"/>
                <w:sz w:val="22"/>
              </w:rPr>
              <w:t>95.3</w:t>
            </w:r>
          </w:p>
        </w:tc>
        <w:tc>
          <w:tcPr>
            <w:tcW w:type="dxa" w:w="1728"/>
          </w:tcPr>
          <w:p>
            <w:r>
              <w:rPr>
                <w:rFonts w:ascii="Calibri" w:hAnsi="Calibri"/>
                <w:sz w:val="22"/>
              </w:rPr>
              <w:t>102.0</w:t>
            </w:r>
          </w:p>
        </w:tc>
        <w:tc>
          <w:tcPr>
            <w:tcW w:type="dxa" w:w="1728"/>
          </w:tcPr>
          <w:p>
            <w:r>
              <w:rPr>
                <w:rFonts w:ascii="Calibri" w:hAnsi="Calibri"/>
                <w:sz w:val="22"/>
              </w:rPr>
              <w:t>IP hits post-Q1 trough ($29.38); XLB also weak</w:t>
            </w:r>
          </w:p>
        </w:tc>
      </w:tr>
      <w:tr>
        <w:tc>
          <w:tcPr>
            <w:tcW w:type="dxa" w:w="1728"/>
          </w:tcPr>
          <w:p>
            <w:r>
              <w:rPr>
                <w:rFonts w:ascii="Calibri" w:hAnsi="Calibri"/>
                <w:sz w:val="22"/>
              </w:rPr>
              <w:t>Jun 12</w:t>
            </w:r>
          </w:p>
        </w:tc>
        <w:tc>
          <w:tcPr>
            <w:tcW w:type="dxa" w:w="1728"/>
          </w:tcPr>
          <w:p>
            <w:r>
              <w:rPr>
                <w:rFonts w:ascii="Calibri" w:hAnsi="Calibri"/>
                <w:sz w:val="22"/>
              </w:rPr>
              <w:t>118.8</w:t>
            </w:r>
          </w:p>
        </w:tc>
        <w:tc>
          <w:tcPr>
            <w:tcW w:type="dxa" w:w="1728"/>
          </w:tcPr>
          <w:p>
            <w:r>
              <w:rPr>
                <w:rFonts w:ascii="Calibri" w:hAnsi="Calibri"/>
                <w:sz w:val="22"/>
              </w:rPr>
              <w:t>101.4</w:t>
            </w:r>
          </w:p>
        </w:tc>
        <w:tc>
          <w:tcPr>
            <w:tcW w:type="dxa" w:w="1728"/>
          </w:tcPr>
          <w:p>
            <w:r>
              <w:rPr>
                <w:rFonts w:ascii="Calibri" w:hAnsi="Calibri"/>
                <w:sz w:val="22"/>
              </w:rPr>
              <w:t>103.2</w:t>
            </w:r>
          </w:p>
        </w:tc>
        <w:tc>
          <w:tcPr>
            <w:tcW w:type="dxa" w:w="1728"/>
          </w:tcPr>
          <w:p>
            <w:r>
              <w:rPr>
                <w:rFonts w:ascii="Calibri" w:hAnsi="Calibri"/>
                <w:sz w:val="22"/>
              </w:rPr>
              <w:t>IP re-rates; PKG/GPK conference commentary signals tight containerboard market</w:t>
            </w:r>
          </w:p>
        </w:tc>
      </w:tr>
      <w:tr>
        <w:tc>
          <w:tcPr>
            <w:tcW w:type="dxa" w:w="1728"/>
          </w:tcPr>
          <w:p>
            <w:r>
              <w:rPr>
                <w:rFonts w:ascii="Calibri" w:hAnsi="Calibri"/>
                <w:sz w:val="22"/>
              </w:rPr>
              <w:t>Jun 24</w:t>
            </w:r>
          </w:p>
        </w:tc>
        <w:tc>
          <w:tcPr>
            <w:tcW w:type="dxa" w:w="1728"/>
          </w:tcPr>
          <w:p>
            <w:r>
              <w:rPr>
                <w:rFonts w:ascii="Calibri" w:hAnsi="Calibri"/>
                <w:sz w:val="22"/>
              </w:rPr>
              <w:t>125.9</w:t>
            </w:r>
          </w:p>
        </w:tc>
        <w:tc>
          <w:tcPr>
            <w:tcW w:type="dxa" w:w="1728"/>
          </w:tcPr>
          <w:p>
            <w:r>
              <w:rPr>
                <w:rFonts w:ascii="Calibri" w:hAnsi="Calibri"/>
                <w:sz w:val="22"/>
              </w:rPr>
              <w:t>99.4</w:t>
            </w:r>
          </w:p>
        </w:tc>
        <w:tc>
          <w:tcPr>
            <w:tcW w:type="dxa" w:w="1728"/>
          </w:tcPr>
          <w:p>
            <w:r>
              <w:rPr>
                <w:rFonts w:ascii="Calibri" w:hAnsi="Calibri"/>
                <w:sz w:val="22"/>
              </w:rPr>
              <w:t>102.0</w:t>
            </w:r>
          </w:p>
        </w:tc>
        <w:tc>
          <w:tcPr>
            <w:tcW w:type="dxa" w:w="1728"/>
          </w:tcPr>
          <w:p>
            <w:r>
              <w:rPr>
                <w:rFonts w:ascii="Calibri" w:hAnsi="Calibri"/>
                <w:sz w:val="22"/>
              </w:rPr>
              <w:t>IP continues to outperform; XLB lags</w:t>
            </w:r>
          </w:p>
        </w:tc>
      </w:tr>
      <w:tr>
        <w:tc>
          <w:tcPr>
            <w:tcW w:type="dxa" w:w="1728"/>
          </w:tcPr>
          <w:p>
            <w:r>
              <w:rPr>
                <w:rFonts w:ascii="Calibri" w:hAnsi="Calibri"/>
                <w:sz w:val="22"/>
              </w:rPr>
              <w:t>Jul 17</w:t>
            </w:r>
          </w:p>
        </w:tc>
        <w:tc>
          <w:tcPr>
            <w:tcW w:type="dxa" w:w="1728"/>
          </w:tcPr>
          <w:p>
            <w:r>
              <w:rPr>
                <w:rFonts w:ascii="Calibri" w:hAnsi="Calibri"/>
                <w:sz w:val="22"/>
              </w:rPr>
              <w:t>123.5</w:t>
            </w:r>
          </w:p>
        </w:tc>
        <w:tc>
          <w:tcPr>
            <w:tcW w:type="dxa" w:w="1728"/>
          </w:tcPr>
          <w:p>
            <w:r>
              <w:rPr>
                <w:rFonts w:ascii="Calibri" w:hAnsi="Calibri"/>
                <w:sz w:val="22"/>
              </w:rPr>
              <w:t>98.2</w:t>
            </w:r>
          </w:p>
        </w:tc>
        <w:tc>
          <w:tcPr>
            <w:tcW w:type="dxa" w:w="1728"/>
          </w:tcPr>
          <w:p>
            <w:r>
              <w:rPr>
                <w:rFonts w:ascii="Calibri" w:hAnsi="Calibri"/>
                <w:sz w:val="22"/>
              </w:rPr>
              <w:t>103.4</w:t>
            </w:r>
          </w:p>
        </w:tc>
        <w:tc>
          <w:tcPr>
            <w:tcW w:type="dxa" w:w="1728"/>
          </w:tcPr>
          <w:p>
            <w:r>
              <w:rPr>
                <w:rFonts w:ascii="Calibri" w:hAnsi="Calibri"/>
                <w:sz w:val="22"/>
              </w:rPr>
              <w:t>IP board changes announced (2 new directors, 2 retiring)</w:t>
            </w:r>
          </w:p>
        </w:tc>
      </w:tr>
      <w:tr>
        <w:tc>
          <w:tcPr>
            <w:tcW w:type="dxa" w:w="1728"/>
          </w:tcPr>
          <w:p>
            <w:r>
              <w:rPr>
                <w:rFonts w:ascii="Calibri" w:hAnsi="Calibri"/>
                <w:sz w:val="22"/>
              </w:rPr>
              <w:t>Jul 24</w:t>
            </w:r>
          </w:p>
        </w:tc>
        <w:tc>
          <w:tcPr>
            <w:tcW w:type="dxa" w:w="1728"/>
          </w:tcPr>
          <w:p>
            <w:r>
              <w:rPr>
                <w:rFonts w:ascii="Calibri" w:hAnsi="Calibri"/>
                <w:sz w:val="22"/>
              </w:rPr>
              <w:t>138.6</w:t>
            </w:r>
          </w:p>
        </w:tc>
        <w:tc>
          <w:tcPr>
            <w:tcW w:type="dxa" w:w="1728"/>
          </w:tcPr>
          <w:p>
            <w:r>
              <w:rPr>
                <w:rFonts w:ascii="Calibri" w:hAnsi="Calibri"/>
                <w:sz w:val="22"/>
              </w:rPr>
              <w:t>99.6</w:t>
            </w:r>
          </w:p>
        </w:tc>
        <w:tc>
          <w:tcPr>
            <w:tcW w:type="dxa" w:w="1728"/>
          </w:tcPr>
          <w:p>
            <w:r>
              <w:rPr>
                <w:rFonts w:ascii="Calibri" w:hAnsi="Calibri"/>
                <w:sz w:val="22"/>
              </w:rPr>
              <w:t>102.8</w:t>
            </w:r>
          </w:p>
        </w:tc>
        <w:tc>
          <w:tcPr>
            <w:tcW w:type="dxa" w:w="1728"/>
          </w:tcPr>
          <w:p>
            <w:r>
              <w:rPr>
                <w:rFonts w:ascii="Calibri" w:hAnsi="Calibri"/>
                <w:sz w:val="22"/>
              </w:rPr>
              <w:t>IP surges +11% on day; $80/ton Sept. price increase reported; JPM upgrade to OW</w:t>
            </w:r>
          </w:p>
        </w:tc>
      </w:tr>
      <w:tr>
        <w:tc>
          <w:tcPr>
            <w:tcW w:type="dxa" w:w="1728"/>
          </w:tcPr>
          <w:p>
            <w:r>
              <w:rPr>
                <w:rFonts w:ascii="Calibri" w:hAnsi="Calibri"/>
                <w:sz w:val="22"/>
              </w:rPr>
              <w:t>Jul 28 (pre-earnings)</w:t>
            </w:r>
          </w:p>
        </w:tc>
        <w:tc>
          <w:tcPr>
            <w:tcW w:type="dxa" w:w="1728"/>
          </w:tcPr>
          <w:p>
            <w:r>
              <w:rPr>
                <w:rFonts w:ascii="Calibri" w:hAnsi="Calibri"/>
                <w:sz w:val="22"/>
              </w:rPr>
              <w:t>144.9</w:t>
            </w:r>
          </w:p>
        </w:tc>
        <w:tc>
          <w:tcPr>
            <w:tcW w:type="dxa" w:w="1728"/>
          </w:tcPr>
          <w:p>
            <w:r>
              <w:rPr>
                <w:rFonts w:ascii="Calibri" w:hAnsi="Calibri"/>
                <w:sz w:val="22"/>
              </w:rPr>
              <w:t>101.7</w:t>
            </w:r>
          </w:p>
        </w:tc>
        <w:tc>
          <w:tcPr>
            <w:tcW w:type="dxa" w:w="1728"/>
          </w:tcPr>
          <w:p>
            <w:r>
              <w:rPr>
                <w:rFonts w:ascii="Calibri" w:hAnsi="Calibri"/>
                <w:sz w:val="22"/>
              </w:rPr>
              <w:t>103.1</w:t>
            </w:r>
          </w:p>
        </w:tc>
        <w:tc>
          <w:tcPr>
            <w:tcW w:type="dxa" w:w="1728"/>
          </w:tcPr>
          <w:p>
            <w:r>
              <w:rPr>
                <w:rFonts w:ascii="Calibri" w:hAnsi="Calibri"/>
                <w:sz w:val="22"/>
              </w:rPr>
              <w:t>IP +45% from Apr 30 low; XLB +1.7%; SPY +3.1%</w:t>
            </w:r>
          </w:p>
        </w:tc>
      </w:tr>
    </w:tbl>
    <w:p>
      <w:r>
        <w:rPr>
          <w:rFonts w:ascii="Calibri" w:hAnsi="Calibri"/>
          <w:b/>
          <w:color w:val="525866"/>
          <w:sz w:val="22"/>
        </w:rPr>
        <w:t xml:space="preserve">Note: </w:t>
      </w:r>
      <w:r>
        <w:rPr>
          <w:rFonts w:ascii="Calibri" w:hAnsi="Calibri"/>
          <w:color w:val="525866"/>
          <w:sz w:val="22"/>
        </w:rPr>
        <w:t>Indexed to 100 at April 30, 2026 close (IP: $30.42, XLB: $51.47, SPY: $718.66). IP's +45% recovery vs. XLB +1.7% and SPY +3.1% over the same period reflects a company-specific re-rating driven by the containerboard pricing narrative and analyst upgrades, not broad materials sector strength. The XLB (Materials Select Sector SPDR ETF) is the appropriate benchmark for IP given its classification in the Materials sector.</w:t>
      </w:r>
    </w:p>
    <w:p>
      <w:r>
        <w:rPr>
          <w:rFonts w:ascii="Calibri" w:hAnsi="Calibri"/>
          <w:b/>
          <w:color w:val="525866"/>
          <w:sz w:val="22"/>
        </w:rPr>
        <w:t xml:space="preserve">Performance Decomposition: </w:t>
      </w:r>
      <w:r>
        <w:rPr>
          <w:rFonts w:ascii="Calibri" w:hAnsi="Calibri"/>
          <w:color w:val="525866"/>
          <w:sz w:val="22"/>
        </w:rPr>
        <w:t>Over the 3-month window, IP's +25.4% price appreciation was driven primarily by EV/EBITDA multiple expansion (+17.9%, from ~7.0x to ~8.2x NTM) with the remainder attributable to modest estimate revisions. Over 12 months, IP is still down -23.2%, with EV/EBITDA contracting -12.7% (from 9.4x to 8.2x) and estimate cuts accounting for the balance.</w:t>
      </w:r>
    </w:p>
    <w:p>
      <w:r>
        <w:rPr>
          <w:rFonts w:ascii="Calibri" w:hAnsi="Calibri"/>
          <w:b/>
          <w:color w:val="525866"/>
          <w:sz w:val="22"/>
        </w:rPr>
        <w:t xml:space="preserve">Source: </w:t>
      </w:r>
      <w:r>
        <w:rPr>
          <w:rFonts w:ascii="Calibri" w:hAnsi="Calibri"/>
          <w:color w:val="525866"/>
          <w:sz w:val="22"/>
        </w:rPr>
        <w:t>Stock Price Data (Yahoo Finance); Stock Performance Decomposition (Implied Analytics).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reported $80/ton September containerboard price increase</w:t>
      </w:r>
      <w:r>
        <w:rPr>
          <w:rFonts w:ascii="Calibri" w:hAnsi="Calibri"/>
          <w:color w:val="525866"/>
          <w:sz w:val="22"/>
        </w:rPr>
        <w:t xml:space="preserve"> (July 28), which — if confirmed on the Q2 call — would represent a meaningful upside catalyst to the H2 recovery bridge and could drive consensus FY2026 EBITDA estimates toward the guidance midpoint.</w:t>
      </w:r>
    </w:p>
    <w:p>
      <w:pPr>
        <w:pStyle w:val="ListBullet"/>
        <w:ind w:left="360" w:hanging="360"/>
      </w:pPr>
      <w:r>
        <w:rPr>
          <w:rFonts w:ascii="Calibri" w:hAnsi="Calibri"/>
          <w:b/>
          <w:color w:val="525866"/>
          <w:sz w:val="22"/>
        </w:rPr>
        <w:t>July 28, 2026 — $80/ton September Containerboard Price Increase Reported:</w:t>
      </w:r>
      <w:r>
        <w:rPr>
          <w:rFonts w:ascii="Calibri" w:hAnsi="Calibri"/>
          <w:color w:val="525866"/>
          <w:sz w:val="22"/>
        </w:rPr>
        <w:t xml:space="preserve"> Truist analyst Michael Roxland reported that IP will raise containerboard prices by $80/ton effective September 1, citing higher costs (freight, recycled fiber, chemicals, purchased electricity), strong demand, and tight supply. J.P. Morgan simultaneously upgraded IP to Overweight from Neutral and raised its price target to $61 from $51. IP stock surged +5% on the day and is up +17% over the prior three sessions. </w:t>
      </w:r>
    </w:p>
    <w:p>
      <w:pPr>
        <w:pStyle w:val="ListBullet"/>
        <w:ind w:left="360" w:hanging="360"/>
      </w:pPr>
      <w:r>
        <w:rPr>
          <w:rFonts w:ascii="Calibri" w:hAnsi="Calibri"/>
          <w:i/>
          <w:color w:val="525866"/>
          <w:sz w:val="22"/>
        </w:rPr>
        <w:t>Implication:</w:t>
      </w:r>
      <w:r>
        <w:rPr>
          <w:rFonts w:ascii="Calibri" w:hAnsi="Calibri"/>
          <w:color w:val="525866"/>
          <w:sz w:val="22"/>
        </w:rPr>
        <w:t xml:space="preserve"> If confirmed on the Q2 call, this price increase would flow through beginning in Q4 2026 and could add $100–$150M+ to FY2026 EBITDA estimates, potentially closing the gap to the guidance midpoint and supporting the 2027 $5B EBITDA target.</w:t>
      </w:r>
    </w:p>
    <w:p>
      <w:pPr>
        <w:pStyle w:val="ListBullet"/>
        <w:ind w:left="360" w:hanging="360"/>
      </w:pPr>
      <w:r>
        <w:rPr>
          <w:rFonts w:ascii="Calibri" w:hAnsi="Calibri"/>
          <w:b/>
          <w:color w:val="525866"/>
          <w:sz w:val="22"/>
        </w:rPr>
        <w:t>July 17, 2026 — Board of Directors Refresh:</w:t>
      </w:r>
      <w:r>
        <w:rPr>
          <w:rFonts w:ascii="Calibri" w:hAnsi="Calibri"/>
          <w:color w:val="525866"/>
          <w:sz w:val="22"/>
        </w:rPr>
        <w:t xml:space="preserve"> IP appointed Katherine Collins (sustainable investing background, former Putnam/Fidelity) and Lori J. Ryerkerk (former Celanese Chairman/CEO, deep chemicals/materials operational expertise) as independent directors effective October 1, 2026. Two long-tenured directors (Dr. Kathryn Sullivan, since 2017; Ahmet Dorduncu, since 2011) will retire at year-end. </w:t>
      </w:r>
    </w:p>
    <w:p>
      <w:pPr>
        <w:pStyle w:val="ListBullet"/>
        <w:ind w:left="360" w:hanging="360"/>
      </w:pPr>
      <w:r>
        <w:rPr>
          <w:rFonts w:ascii="Calibri" w:hAnsi="Calibri"/>
          <w:i/>
          <w:color w:val="525866"/>
          <w:sz w:val="22"/>
        </w:rPr>
        <w:t>Implication:</w:t>
      </w:r>
      <w:r>
        <w:rPr>
          <w:rFonts w:ascii="Calibri" w:hAnsi="Calibri"/>
          <w:color w:val="525866"/>
          <w:sz w:val="22"/>
        </w:rPr>
        <w:t xml:space="preserve"> Board refresh signals governance evolution ahead of the EMEA separation; Ryerkerk's operational background in large-scale industrial transformation is directly relevant to IP's current restructuring.</w:t>
      </w:r>
    </w:p>
    <w:p>
      <w:pPr>
        <w:pStyle w:val="ListBullet"/>
        <w:ind w:left="360" w:hanging="360"/>
      </w:pPr>
      <w:r>
        <w:rPr>
          <w:rFonts w:ascii="Calibri" w:hAnsi="Calibri"/>
          <w:b/>
          <w:color w:val="525866"/>
          <w:sz w:val="22"/>
        </w:rPr>
        <w:t>June 23, 2026 — Q2 2026 Earnings Date Confirmed:</w:t>
      </w:r>
      <w:r>
        <w:rPr>
          <w:rFonts w:ascii="Calibri" w:hAnsi="Calibri"/>
          <w:color w:val="525866"/>
          <w:sz w:val="22"/>
        </w:rPr>
        <w:t xml:space="preserve"> IP confirmed July 30, 2026 (before NYSE open) as the Q2 earnings release date, with a 10:00 AM ET webcast. No guidance update was included in the announcement.</w:t>
      </w:r>
    </w:p>
    <w:p>
      <w:pPr>
        <w:pStyle w:val="ListBullet"/>
        <w:ind w:left="360" w:hanging="360"/>
      </w:pPr>
      <w:r>
        <w:rPr>
          <w:rFonts w:ascii="Calibri" w:hAnsi="Calibri"/>
          <w:b/>
          <w:color w:val="525866"/>
          <w:sz w:val="22"/>
        </w:rPr>
        <w:t>July 27, 2026 — CEO to Speak at Jefferies 2026 Industrials Conference:</w:t>
      </w:r>
      <w:r>
        <w:rPr>
          <w:rFonts w:ascii="Calibri" w:hAnsi="Calibri"/>
          <w:color w:val="525866"/>
          <w:sz w:val="22"/>
        </w:rPr>
        <w:t xml:space="preserve"> CEO Andy Silvernail is scheduled to present at the Jefferies Industrials Conference. No pre-announcement or guidance update was disclosed in connection with this event. </w:t>
      </w:r>
    </w:p>
    <w:p>
      <w:pPr>
        <w:pStyle w:val="ListBullet"/>
        <w:ind w:left="360" w:hanging="360"/>
      </w:pPr>
      <w:r>
        <w:rPr>
          <w:rFonts w:ascii="Calibri" w:hAnsi="Calibri"/>
          <w:i/>
          <w:color w:val="525866"/>
          <w:sz w:val="22"/>
        </w:rPr>
        <w:t>Implication:</w:t>
      </w:r>
      <w:r>
        <w:rPr>
          <w:rFonts w:ascii="Calibri" w:hAnsi="Calibri"/>
          <w:color w:val="525866"/>
          <w:sz w:val="22"/>
        </w:rPr>
        <w:t xml:space="preserve"> The absence of any pre-announcement or guidance update at the conference is consistent with management's stated intent to communicate through formal earnings channels.</w:t>
      </w:r>
    </w:p>
    <w:p>
      <w:pPr>
        <w:pStyle w:val="ListBullet"/>
        <w:ind w:left="360" w:hanging="360"/>
      </w:pPr>
      <w:r>
        <w:rPr>
          <w:rFonts w:ascii="Calibri" w:hAnsi="Calibri"/>
          <w:b/>
          <w:color w:val="525866"/>
          <w:sz w:val="22"/>
        </w:rPr>
        <w:t>May 11, 2026 — Shareholder Meeting Approvals:</w:t>
      </w:r>
      <w:r>
        <w:rPr>
          <w:rFonts w:ascii="Calibri" w:hAnsi="Calibri"/>
          <w:color w:val="525866"/>
          <w:sz w:val="22"/>
        </w:rPr>
        <w:t xml:space="preserve"> IP secured shareholder approval for board composition, auditor ratification, and executive compensation at its annual meeting. No material governance changes were flagged.</w:t>
      </w:r>
    </w:p>
    <w:p>
      <w:pPr>
        <w:pStyle w:val="ListBullet"/>
        <w:ind w:left="360" w:hanging="360"/>
      </w:pPr>
      <w:r>
        <w:rPr>
          <w:rFonts w:ascii="Calibri" w:hAnsi="Calibri"/>
          <w:b/>
          <w:color w:val="525866"/>
          <w:sz w:val="22"/>
        </w:rPr>
        <w:t>Macro / Industry — Tariff Environment:</w:t>
      </w:r>
      <w:r>
        <w:rPr>
          <w:rFonts w:ascii="Calibri" w:hAnsi="Calibri"/>
          <w:color w:val="525866"/>
          <w:sz w:val="22"/>
        </w:rPr>
        <w:t xml:space="preserve"> The Supreme Court overturned Trump's emergency-powers tariffs in February 2026, with ~$104B in refunds issued as of June 29. New Section 301 tariffs of 10–12.5% on 60 trading partners took effect July 25. </w:t>
      </w:r>
    </w:p>
    <w:p>
      <w:pPr>
        <w:pStyle w:val="ListBullet"/>
        <w:ind w:left="360" w:hanging="360"/>
      </w:pPr>
      <w:r>
        <w:rPr>
          <w:rFonts w:ascii="Calibri" w:hAnsi="Calibri"/>
          <w:i/>
          <w:color w:val="525866"/>
          <w:sz w:val="22"/>
        </w:rPr>
        <w:t>Implication:</w:t>
      </w:r>
      <w:r>
        <w:rPr>
          <w:rFonts w:ascii="Calibri" w:hAnsi="Calibri"/>
          <w:color w:val="525866"/>
          <w:sz w:val="22"/>
        </w:rPr>
        <w:t xml:space="preserve"> IP's North American operations are primarily domestic, limiting direct tariff exposure, but higher diesel and chemical costs (flagged as a $200M headwind in the FY2026 guidance revision) are partly tariff-driven. EMEA operations face indirect exposure through energy and logistics costs.</w:t>
      </w:r>
    </w:p>
    <w:p>
      <w:pPr>
        <w:pStyle w:val="ListBullet"/>
        <w:ind w:left="360" w:hanging="360"/>
      </w:pPr>
      <w:r>
        <w:rPr>
          <w:rFonts w:ascii="Calibri" w:hAnsi="Calibri"/>
          <w:b/>
          <w:color w:val="525866"/>
          <w:sz w:val="22"/>
        </w:rPr>
        <w:t>Macro / Industry — Diesel and Energy Prices:</w:t>
      </w:r>
      <w:r>
        <w:rPr>
          <w:rFonts w:ascii="Calibri" w:hAnsi="Calibri"/>
          <w:color w:val="525866"/>
          <w:sz w:val="22"/>
        </w:rPr>
        <w:t xml:space="preserve"> U.S. diesel benchmark jumped ~34 cents in one week to $5.13/gallon (week of July 22), the largest weekly climb since the start of the Iran conflict in March. National average gasoline reached $4.06/gallon. </w:t>
      </w:r>
    </w:p>
    <w:p>
      <w:pPr>
        <w:pStyle w:val="ListBullet"/>
        <w:ind w:left="360" w:hanging="360"/>
      </w:pPr>
      <w:r>
        <w:rPr>
          <w:rFonts w:ascii="Calibri" w:hAnsi="Calibri"/>
          <w:i/>
          <w:color w:val="525866"/>
          <w:sz w:val="22"/>
        </w:rPr>
        <w:t>Implication:</w:t>
      </w:r>
      <w:r>
        <w:rPr>
          <w:rFonts w:ascii="Calibri" w:hAnsi="Calibri"/>
          <w:color w:val="525866"/>
          <w:sz w:val="22"/>
        </w:rPr>
        <w:t xml:space="preserve"> Diesel is a direct input cost for IP's distribution network and a key driver of OCC (recycled fiber) transportation costs. Sustained elevated diesel prices represent a headwind to the H2 recovery bridge, which assumed only ~$50M of incremental macro pressure in H2.</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 xml:space="preserve">The only notable insider transaction since Q1 earnings is a </w:t>
      </w:r>
      <w:r>
        <w:rPr>
          <w:rFonts w:ascii="Calibri" w:hAnsi="Calibri"/>
          <w:b/>
          <w:color w:val="525866"/>
          <w:sz w:val="22"/>
        </w:rPr>
        <w:t>discretionary open-market purchase by Director Scott Tozier</w:t>
      </w:r>
      <w:r>
        <w:rPr>
          <w:rFonts w:ascii="Calibri" w:hAnsi="Calibri"/>
          <w:color w:val="525866"/>
          <w:sz w:val="22"/>
        </w:rPr>
        <w:t xml:space="preserve"> on May 1, 2026 — the day after the Q1 earnings selloff — which is a constructive signal, though the size ($313K) is modest relative to the company's market cap. No insider sales have been filed in the period.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Value</w:t>
            </w:r>
          </w:p>
        </w:tc>
        <w:tc>
          <w:tcPr>
            <w:tcW w:type="dxa" w:w="1080"/>
            <w:shd w:val="clear" w:color="auto" w:fill="3B4259"/>
          </w:tcPr>
          <w:p>
            <w:r>
              <w:rPr>
                <w:rFonts w:ascii="Calibri" w:hAnsi="Calibri"/>
                <w:b/>
                <w:color w:val="FFFFFF"/>
                <w:sz w:val="22"/>
              </w:rPr>
              <w:t>Price</w:t>
            </w:r>
          </w:p>
        </w:tc>
        <w:tc>
          <w:tcPr>
            <w:tcW w:type="dxa" w:w="1080"/>
            <w:shd w:val="clear" w:color="auto" w:fill="3B4259"/>
          </w:tcPr>
          <w:p>
            <w:r>
              <w:rPr>
                <w:rFonts w:ascii="Calibri" w:hAnsi="Calibri"/>
                <w:b/>
                <w:color w:val="FFFFFF"/>
                <w:sz w:val="22"/>
              </w:rPr>
              <w:t>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Scott Tozier</w:t>
            </w:r>
          </w:p>
        </w:tc>
        <w:tc>
          <w:tcPr>
            <w:tcW w:type="dxa" w:w="1080"/>
          </w:tcPr>
          <w:p>
            <w:r>
              <w:rPr>
                <w:rFonts w:ascii="Calibri" w:hAnsi="Calibri"/>
                <w:sz w:val="22"/>
              </w:rPr>
              <w:t>Director</w:t>
            </w:r>
          </w:p>
        </w:tc>
        <w:tc>
          <w:tcPr>
            <w:tcW w:type="dxa" w:w="1080"/>
          </w:tcPr>
          <w:p>
            <w:r>
              <w:rPr>
                <w:rFonts w:ascii="Calibri" w:hAnsi="Calibri"/>
                <w:sz w:val="22"/>
              </w:rPr>
              <w:t>Open Market Buy</w:t>
            </w:r>
          </w:p>
        </w:tc>
        <w:tc>
          <w:tcPr>
            <w:tcW w:type="dxa" w:w="1080"/>
          </w:tcPr>
          <w:p>
            <w:r>
              <w:rPr>
                <w:rFonts w:ascii="Calibri" w:hAnsi="Calibri"/>
                <w:sz w:val="22"/>
              </w:rPr>
              <w:t>10,000</w:t>
            </w:r>
          </w:p>
        </w:tc>
        <w:tc>
          <w:tcPr>
            <w:tcW w:type="dxa" w:w="1080"/>
          </w:tcPr>
          <w:p>
            <w:r>
              <w:rPr>
                <w:rFonts w:ascii="Calibri" w:hAnsi="Calibri"/>
                <w:sz w:val="22"/>
              </w:rPr>
              <w:t>~$313,009</w:t>
            </w:r>
          </w:p>
        </w:tc>
        <w:tc>
          <w:tcPr>
            <w:tcW w:type="dxa" w:w="1080"/>
          </w:tcPr>
          <w:p>
            <w:r>
              <w:rPr>
                <w:rFonts w:ascii="Calibri" w:hAnsi="Calibri"/>
                <w:sz w:val="22"/>
              </w:rPr>
              <w:t>$31.30 (wtd. avg.; range $31.165–$31.35)</w:t>
            </w:r>
          </w:p>
        </w:tc>
        <w:tc>
          <w:tcPr>
            <w:tcW w:type="dxa" w:w="1080"/>
          </w:tcPr>
          <w:p>
            <w:r>
              <w:rPr>
                <w:rFonts w:ascii="Calibri" w:hAnsi="Calibri"/>
                <w:sz w:val="22"/>
              </w:rPr>
              <w:t>May 1, 2026</w:t>
            </w:r>
          </w:p>
        </w:tc>
        <w:tc>
          <w:tcPr>
            <w:tcW w:type="dxa" w:w="1080"/>
          </w:tcPr>
          <w:p>
            <w:r>
              <w:rPr>
                <w:rFonts w:ascii="Calibri" w:hAnsi="Calibri"/>
                <w:sz w:val="22"/>
              </w:rPr>
              <w:t>Discretionary open-market purchase (not 10b5-1). Purchased the day after Q1 earnings selloff at near post-earnings lows. Constructive signal from a board member.</w:t>
            </w:r>
          </w:p>
        </w:tc>
      </w:tr>
    </w:tbl>
    <w:p>
      <w:r>
        <w:rPr>
          <w:rFonts w:ascii="Calibri" w:hAnsi="Calibri"/>
          <w:b/>
          <w:color w:val="525866"/>
          <w:sz w:val="22"/>
        </w:rPr>
        <w:t xml:space="preserve">Source: </w:t>
      </w:r>
      <w:r>
        <w:rPr>
          <w:rFonts w:ascii="Calibri" w:hAnsi="Calibri"/>
          <w:color w:val="525866"/>
          <w:sz w:val="22"/>
        </w:rPr>
        <w:t>SEC Form 4 Filing — Scott Tozier (IP), filed May 1, 2026 (https://www.sec.gov/Archives/edgar/data/51434/000005143426000070/xslF345X06/form4.xml). No other open-market buys or sells were identified in the May 1 – July 29, 2026 window. The Form 4 search covered all filings from April 30 through July 29, 2026.</w:t>
      </w:r>
    </w:p>
    <w:p>
      <w:r>
        <w:br w:type="page"/>
      </w:r>
    </w:p>
    <w:p>
      <w:pPr>
        <w:pStyle w:val="Heading1"/>
        <w:pBdr>
          <w:bottom w:val="single" w:sz="4" w:space="1" w:color="FB9120"/>
        </w:pBdr>
      </w:pPr>
      <w:r>
        <w:rPr>
          <w:rFonts w:ascii="Calibri" w:hAnsi="Calibri"/>
          <w:b/>
          <w:color w:val="3B4259"/>
          <w:sz w:val="40"/>
        </w:rPr>
        <w:t>8. Peer Commentary &amp; Read-Through</w:t>
      </w:r>
    </w:p>
    <w:p>
      <w:r>
        <w:rPr>
          <w:rFonts w:ascii="Calibri" w:hAnsi="Calibri"/>
          <w:b/>
          <w:color w:val="525866"/>
          <w:sz w:val="22"/>
        </w:rPr>
        <w:t xml:space="preserve">Screening Methodology: </w:t>
      </w:r>
      <w:r>
        <w:rPr>
          <w:rFonts w:ascii="Calibri" w:hAnsi="Calibri"/>
          <w:color w:val="525866"/>
          <w:sz w:val="22"/>
        </w:rPr>
        <w:t xml:space="preserve">This section includes only peer commentary from the last 60 days (May 29 – July 29, 2026) that speaks to </w:t>
      </w:r>
      <w:r>
        <w:rPr>
          <w:rFonts w:ascii="Calibri" w:hAnsi="Calibri"/>
          <w:b/>
          <w:color w:val="525866"/>
          <w:sz w:val="22"/>
        </w:rPr>
        <w:t>then-current Q2 2026 trading conditions</w:t>
      </w:r>
      <w:r>
        <w:rPr>
          <w:rFonts w:ascii="Calibri" w:hAnsi="Calibri"/>
          <w:color w:val="525866"/>
          <w:sz w:val="22"/>
        </w:rPr>
        <w:t xml:space="preserve"> (i.e., commentary about the quarter in progress at the time of the statement). Excluded: (1) retrospective Q1 2025 or Q1 2026 results commentary, (2) Q3 2026 or beyond forward guidance, and (3) company-specific commentary with no plausible read-through to IP's corrugated/containerboard business. Each item is labeled as </w:t>
      </w:r>
    </w:p>
    <w:p>
      <w:r>
        <w:rPr>
          <w:rFonts w:ascii="Calibri" w:hAnsi="Calibri"/>
          <w:b/>
          <w:color w:val="525866"/>
          <w:sz w:val="22"/>
        </w:rPr>
        <w:t>Direct Read-Through</w:t>
      </w:r>
      <w:r>
        <w:rPr>
          <w:rFonts w:ascii="Calibri" w:hAnsi="Calibri"/>
          <w:color w:val="525866"/>
          <w:sz w:val="22"/>
        </w:rPr>
        <w:t xml:space="preserve"> (same product/market as IP) or </w:t>
      </w:r>
      <w:r>
        <w:rPr>
          <w:rFonts w:ascii="Calibri" w:hAnsi="Calibri"/>
          <w:b/>
          <w:color w:val="525866"/>
          <w:sz w:val="22"/>
        </w:rPr>
        <w:t>Partial Read-Through</w:t>
      </w:r>
      <w:r>
        <w:rPr>
          <w:rFonts w:ascii="Calibri" w:hAnsi="Calibri"/>
          <w:color w:val="525866"/>
          <w:sz w:val="22"/>
        </w:rPr>
        <w:t xml:space="preserve"> (adjacent market or business model differences limit direct applicability).</w:t>
      </w:r>
    </w:p>
    <w:p>
      <w:pPr>
        <w:pStyle w:val="Heading2"/>
      </w:pPr>
      <w:r>
        <w:rPr>
          <w:rFonts w:ascii="Calibri" w:hAnsi="Calibri"/>
          <w:b/>
          <w:color w:val="3B4259"/>
          <w:sz w:val="28"/>
        </w:rPr>
        <w:t>8A. Packaging Corporation of America (PKG) — Wells Fargo Industrials &amp; Materials Conference, June 10, 2026</w:t>
      </w:r>
    </w:p>
    <w:p>
      <w:r>
        <w:rPr>
          <w:rFonts w:ascii="Calibri" w:hAnsi="Calibri"/>
          <w:b/>
          <w:color w:val="525866"/>
          <w:sz w:val="22"/>
        </w:rPr>
        <w:t xml:space="preserve">Read-Through Classification: </w:t>
      </w:r>
      <w:r>
        <w:rPr>
          <w:rFonts w:ascii="Calibri" w:hAnsi="Calibri"/>
          <w:b/>
          <w:color w:val="30A46C"/>
          <w:sz w:val="22"/>
        </w:rPr>
        <w:t>Direct Read-Through</w:t>
      </w:r>
      <w:r>
        <w:rPr>
          <w:rFonts w:ascii="Calibri" w:hAnsi="Calibri"/>
          <w:color w:val="525866"/>
          <w:sz w:val="22"/>
        </w:rPr>
        <w:t xml:space="preserve"> — PKG is IP's closest North American corrugated/containerboard peer.</w:t>
      </w:r>
    </w:p>
    <w:p>
      <w:pPr>
        <w:pStyle w:val="ListBullet"/>
        <w:ind w:left="360" w:hanging="360"/>
      </w:pPr>
      <w:r>
        <w:rPr>
          <w:rFonts w:ascii="Calibri" w:hAnsi="Calibri"/>
          <w:b/>
          <w:color w:val="525866"/>
          <w:sz w:val="22"/>
        </w:rPr>
        <w:t>Corrugated demand described as "robust,"</w:t>
      </w:r>
      <w:r>
        <w:rPr>
          <w:rFonts w:ascii="Calibri" w:hAnsi="Calibri"/>
          <w:color w:val="525866"/>
          <w:sz w:val="22"/>
        </w:rPr>
        <w:t xml:space="preserve"> with corrugated shipments per day up over 24% YoY (including Greif acquisition) and up 3.5–4.5% on a legacy basis in April–May. Bookings "very strong in both months and continue to be strong in June." Customers "not signaling a slowdown with their ordering patterns."</w:t>
      </w:r>
    </w:p>
    <w:p>
      <w:pPr>
        <w:pStyle w:val="ListBullet"/>
        <w:ind w:left="360" w:hanging="360"/>
      </w:pPr>
      <w:r>
        <w:rPr>
          <w:rFonts w:ascii="Calibri" w:hAnsi="Calibri"/>
          <w:i/>
          <w:color w:val="525866"/>
          <w:sz w:val="22"/>
        </w:rPr>
        <w:t>IP Read-Through:</w:t>
      </w:r>
      <w:r>
        <w:rPr>
          <w:rFonts w:ascii="Calibri" w:hAnsi="Calibri"/>
          <w:color w:val="525866"/>
          <w:sz w:val="22"/>
        </w:rPr>
        <w:t xml:space="preserve"> Directly supportive of IP's Q2 volume guidance of ~+3% YoY for North American box volumes. Strong industry demand reduces the risk of a volume miss.</w:t>
      </w:r>
    </w:p>
    <w:p>
      <w:pPr>
        <w:pStyle w:val="ListBullet"/>
        <w:ind w:left="360" w:hanging="360"/>
      </w:pPr>
      <w:r>
        <w:rPr>
          <w:rFonts w:ascii="Calibri" w:hAnsi="Calibri"/>
          <w:b/>
          <w:color w:val="525866"/>
          <w:sz w:val="22"/>
        </w:rPr>
        <w:t>Containerboard market described as "very tight"</w:t>
      </w:r>
      <w:r>
        <w:rPr>
          <w:rFonts w:ascii="Calibri" w:hAnsi="Calibri"/>
          <w:color w:val="525866"/>
          <w:sz w:val="22"/>
        </w:rPr>
        <w:t xml:space="preserve"> with "open market supply hard to find." PKG drew down over 90,000 tons of inventory in March–April and began rebuilding in May–June for the seasonally stronger H2.</w:t>
      </w:r>
    </w:p>
    <w:p>
      <w:pPr>
        <w:pStyle w:val="ListBullet"/>
        <w:ind w:left="360" w:hanging="360"/>
      </w:pPr>
      <w:r>
        <w:rPr>
          <w:rFonts w:ascii="Calibri" w:hAnsi="Calibri"/>
          <w:i/>
          <w:color w:val="525866"/>
          <w:sz w:val="22"/>
        </w:rPr>
        <w:t>IP Read-Through:</w:t>
      </w:r>
      <w:r>
        <w:rPr>
          <w:rFonts w:ascii="Calibri" w:hAnsi="Calibri"/>
          <w:color w:val="525866"/>
          <w:sz w:val="22"/>
        </w:rPr>
        <w:t xml:space="preserve"> Tight containerboard conditions are consistent with IP management's Q1 characterization of the paper market as "very tight" and support the pricing increase narrative. Inventory rebuild by peers suggests sustained demand into H2.</w:t>
      </w:r>
    </w:p>
    <w:p>
      <w:pPr>
        <w:pStyle w:val="ListBullet"/>
        <w:ind w:left="360" w:hanging="360"/>
      </w:pPr>
      <w:r>
        <w:rPr>
          <w:rFonts w:ascii="Calibri" w:hAnsi="Calibri"/>
          <w:b/>
          <w:color w:val="525866"/>
          <w:sz w:val="22"/>
        </w:rPr>
        <w:t>Pricing: First $50/ton net increase "beginning to be meaningfully recognized in corrugated in June."</w:t>
      </w:r>
      <w:r>
        <w:rPr>
          <w:rFonts w:ascii="Calibri" w:hAnsi="Calibri"/>
          <w:color w:val="525866"/>
          <w:sz w:val="22"/>
        </w:rPr>
        <w:t xml:space="preserve"> PKG also announced a second $50/ton containerboard price increase effective June 1, "now being implemented."</w:t>
      </w:r>
    </w:p>
    <w:p>
      <w:pPr>
        <w:pStyle w:val="ListBullet"/>
        <w:ind w:left="360" w:hanging="360"/>
      </w:pPr>
      <w:r>
        <w:rPr>
          <w:rFonts w:ascii="Calibri" w:hAnsi="Calibri"/>
          <w:i/>
          <w:color w:val="525866"/>
          <w:sz w:val="22"/>
        </w:rPr>
        <w:t>IP Read-Through:</w:t>
      </w:r>
      <w:r>
        <w:rPr>
          <w:rFonts w:ascii="Calibri" w:hAnsi="Calibri"/>
          <w:color w:val="525866"/>
          <w:sz w:val="22"/>
        </w:rPr>
        <w:t xml:space="preserve"> IP's own March (+$40/ton) and April (+$30/ton) published price increases are expected to flow through beginning in Q3 per management guidance. PKG's successful implementation of its increases validates the pricing environment and reduces the risk that IP's increases fail to stick.</w:t>
      </w:r>
    </w:p>
    <w:p>
      <w:pPr>
        <w:pStyle w:val="ListBullet"/>
        <w:ind w:left="360" w:hanging="360"/>
      </w:pPr>
      <w:r>
        <w:rPr>
          <w:rFonts w:ascii="Calibri" w:hAnsi="Calibri"/>
          <w:b/>
          <w:color w:val="525866"/>
          <w:sz w:val="22"/>
        </w:rPr>
        <w:t>Input cost headwinds: Freight "$10–$12M unfavorable to guidance for the quarter."</w:t>
      </w:r>
      <w:r>
        <w:rPr>
          <w:rFonts w:ascii="Calibri" w:hAnsi="Calibri"/>
          <w:color w:val="525866"/>
          <w:sz w:val="22"/>
        </w:rPr>
        <w:t xml:space="preserve"> OCC costs elevated not just on price but on transportation (diesel). "Freight rates continue to increase into May and are still near peak May levels. We do not expect any freight rate relief in June."</w:t>
      </w:r>
    </w:p>
    <w:p>
      <w:pPr>
        <w:pStyle w:val="ListBullet"/>
        <w:ind w:left="360" w:hanging="360"/>
      </w:pPr>
      <w:r>
        <w:rPr>
          <w:rFonts w:ascii="Calibri" w:hAnsi="Calibri"/>
          <w:i/>
          <w:color w:val="525866"/>
          <w:sz w:val="22"/>
        </w:rPr>
        <w:t>IP Read-Through:</w:t>
      </w:r>
      <w:r>
        <w:rPr>
          <w:rFonts w:ascii="Calibri" w:hAnsi="Calibri"/>
          <w:color w:val="525866"/>
          <w:sz w:val="22"/>
        </w:rPr>
        <w:t xml:space="preserve"> Directly corroborates IP's Q2 guidance assumption of "higher OCC and freight costs driven by diesel prices" as an input cost headwind. Suggests IP's Q2 cost structure will face similar pressures, partially offsetting the volume and pricing tailwinds.</w:t>
      </w:r>
    </w:p>
    <w:p>
      <w:pPr>
        <w:pStyle w:val="ListBullet"/>
        <w:ind w:left="360" w:hanging="360"/>
      </w:pPr>
      <w:r>
        <w:rPr>
          <w:rFonts w:ascii="Calibri" w:hAnsi="Calibri"/>
          <w:b/>
          <w:color w:val="525866"/>
          <w:sz w:val="22"/>
        </w:rPr>
        <w:t>End-market breadth: "Pretty healthy broad pickup" across ag, manufactured goods, electronic components, automotive, and homebuilding.</w:t>
      </w:r>
    </w:p>
    <w:p>
      <w:pPr>
        <w:pStyle w:val="ListBullet"/>
        <w:ind w:left="360" w:hanging="360"/>
      </w:pPr>
      <w:r>
        <w:rPr>
          <w:rFonts w:ascii="Calibri" w:hAnsi="Calibri"/>
          <w:i/>
          <w:color w:val="525866"/>
          <w:sz w:val="22"/>
        </w:rPr>
        <w:t>IP Read-Through:</w:t>
      </w:r>
      <w:r>
        <w:rPr>
          <w:rFonts w:ascii="Calibri" w:hAnsi="Calibri"/>
          <w:color w:val="525866"/>
          <w:sz w:val="22"/>
        </w:rPr>
        <w:t xml:space="preserve"> Broad industrial demand strength is directly relevant to IP's corrugated customer base, which skews toward industrial and e-commerce end markets.</w:t>
      </w:r>
    </w:p>
    <w:p>
      <w:pPr>
        <w:pStyle w:val="Heading2"/>
      </w:pPr>
      <w:r>
        <w:rPr>
          <w:rFonts w:ascii="Calibri" w:hAnsi="Calibri"/>
          <w:b/>
          <w:color w:val="3B4259"/>
          <w:sz w:val="28"/>
        </w:rPr>
        <w:t>8B. Graphic Packaging (GPK) — Wells Fargo Industrials &amp; Materials Conference, June 9, 2026</w:t>
      </w:r>
    </w:p>
    <w:p>
      <w:r>
        <w:rPr>
          <w:rFonts w:ascii="Calibri" w:hAnsi="Calibri"/>
          <w:b/>
          <w:color w:val="525866"/>
          <w:sz w:val="22"/>
        </w:rPr>
        <w:t xml:space="preserve">Read-Through Classification: </w:t>
      </w:r>
      <w:r>
        <w:rPr>
          <w:rFonts w:ascii="Calibri" w:hAnsi="Calibri"/>
          <w:b/>
          <w:color w:val="002FA7"/>
          <w:sz w:val="22"/>
        </w:rPr>
        <w:t>Partial Read-Through</w:t>
      </w:r>
      <w:r>
        <w:rPr>
          <w:rFonts w:ascii="Calibri" w:hAnsi="Calibri"/>
          <w:color w:val="525866"/>
          <w:sz w:val="22"/>
        </w:rPr>
        <w:t xml:space="preserve"> — GPK focuses on consumer/food packaging (bleached board, folding carton) rather than corrugated; cost structure and demand drivers partially overlap with IP.</w:t>
      </w:r>
    </w:p>
    <w:p>
      <w:pPr>
        <w:pStyle w:val="ListBullet"/>
        <w:ind w:left="360" w:hanging="360"/>
      </w:pPr>
      <w:r>
        <w:rPr>
          <w:rFonts w:ascii="Calibri" w:hAnsi="Calibri"/>
          <w:b/>
          <w:color w:val="525866"/>
          <w:sz w:val="22"/>
        </w:rPr>
        <w:t>Input cost inflation: GPK facing "about $65M more inflation than originally anticipated"</w:t>
      </w:r>
      <w:r>
        <w:rPr>
          <w:rFonts w:ascii="Calibri" w:hAnsi="Calibri"/>
          <w:color w:val="525866"/>
          <w:sz w:val="22"/>
        </w:rPr>
        <w:t xml:space="preserve"> in its annual plan, driven by "transport, logistics, oil and gas prices." Analyst noted "$25–$30 per ton of inflation flowing through the system" on the transportation side for paper alone. GPK is treating this inflation "like it's permanent in the way that we're reengineering our cost structure."</w:t>
      </w:r>
    </w:p>
    <w:p>
      <w:pPr>
        <w:pStyle w:val="ListBullet"/>
        <w:ind w:left="360" w:hanging="360"/>
      </w:pPr>
      <w:r>
        <w:rPr>
          <w:rFonts w:ascii="Calibri" w:hAnsi="Calibri"/>
          <w:i/>
          <w:color w:val="525866"/>
          <w:sz w:val="22"/>
        </w:rPr>
        <w:t>IP Read-Through:</w:t>
      </w:r>
      <w:r>
        <w:rPr>
          <w:rFonts w:ascii="Calibri" w:hAnsi="Calibri"/>
          <w:color w:val="525866"/>
          <w:sz w:val="22"/>
        </w:rPr>
        <w:t xml:space="preserve"> The $25–$30/ton transportation inflation figure is directly applicable to IP's containerboard and corrugated operations. This corroborates IP's Q2 guidance assumption of higher freight and OCC costs and suggests the cost headwinds are industry-wide and structural, not company-specific.</w:t>
      </w:r>
    </w:p>
    <w:p>
      <w:pPr>
        <w:pStyle w:val="ListBullet"/>
        <w:ind w:left="360" w:hanging="360"/>
      </w:pPr>
      <w:r>
        <w:rPr>
          <w:rFonts w:ascii="Calibri" w:hAnsi="Calibri"/>
          <w:b/>
          <w:color w:val="525866"/>
          <w:sz w:val="22"/>
        </w:rPr>
        <w:t>Pricing: GPK implementing price increases across cup stock, folding carton, and unbleached grades.</w:t>
      </w:r>
      <w:r>
        <w:rPr>
          <w:rFonts w:ascii="Calibri" w:hAnsi="Calibri"/>
          <w:color w:val="525866"/>
          <w:sz w:val="22"/>
        </w:rPr>
        <w:t xml:space="preserve"> CFO confirmed increases are "out" and the "first opportunity" for recognition is "in a couple of weeks" (i.e., late June). "Tremendous amount of inflation in the business... clearly what's driving the need for the price increase."</w:t>
      </w:r>
    </w:p>
    <w:p>
      <w:pPr>
        <w:pStyle w:val="ListBullet"/>
        <w:ind w:left="360" w:hanging="360"/>
      </w:pPr>
      <w:r>
        <w:rPr>
          <w:rFonts w:ascii="Calibri" w:hAnsi="Calibri"/>
          <w:i/>
          <w:color w:val="525866"/>
          <w:sz w:val="22"/>
        </w:rPr>
        <w:t>IP Read-Through:</w:t>
      </w:r>
      <w:r>
        <w:rPr>
          <w:rFonts w:ascii="Calibri" w:hAnsi="Calibri"/>
          <w:color w:val="525866"/>
          <w:sz w:val="22"/>
        </w:rPr>
        <w:t xml:space="preserve"> Industry-wide price increases across multiple paperboard grades validate the pricing environment for IP's containerboard increases. The inflation-driven rationale is consistent across producers.</w:t>
      </w:r>
    </w:p>
    <w:p>
      <w:pPr>
        <w:pStyle w:val="ListBullet"/>
        <w:ind w:left="360" w:hanging="360"/>
      </w:pPr>
      <w:r>
        <w:rPr>
          <w:rFonts w:ascii="Calibri" w:hAnsi="Calibri"/>
          <w:b/>
          <w:color w:val="525866"/>
          <w:sz w:val="22"/>
        </w:rPr>
        <w:t>Demand: GPK characterizes demand as "very resilient" across food, beverage, household, and health/beauty.</w:t>
      </w:r>
      <w:r>
        <w:rPr>
          <w:rFonts w:ascii="Calibri" w:hAnsi="Calibri"/>
          <w:color w:val="525866"/>
          <w:sz w:val="22"/>
        </w:rPr>
        <w:t xml:space="preserve"> However, acknowledges a "challenged consumer" with a "value orientation" and notes the consumer is "fatigued when it comes to inflation." No customer inventory buildup observed.</w:t>
      </w:r>
    </w:p>
    <w:p>
      <w:pPr>
        <w:pStyle w:val="ListBullet"/>
        <w:ind w:left="360" w:hanging="360"/>
      </w:pPr>
      <w:r>
        <w:rPr>
          <w:rFonts w:ascii="Calibri" w:hAnsi="Calibri"/>
          <w:i/>
          <w:color w:val="525866"/>
          <w:sz w:val="22"/>
        </w:rPr>
        <w:t>IP Read-Through:</w:t>
      </w:r>
      <w:r>
        <w:rPr>
          <w:rFonts w:ascii="Calibri" w:hAnsi="Calibri"/>
          <w:color w:val="525866"/>
          <w:sz w:val="22"/>
        </w:rPr>
        <w:t xml:space="preserve"> GPK's consumer packaging demand resilience is less directly applicable to IP's industrial corrugated business. The absence of customer inventory buildup is a positive read-through — it suggests demand is consumption-driven rather than speculative, which is supportive of sustained volume trends.</w:t>
      </w:r>
    </w:p>
    <w:p>
      <w:pPr>
        <w:pStyle w:val="ListBullet"/>
        <w:ind w:left="360" w:hanging="360"/>
      </w:pPr>
      <w:r>
        <w:rPr>
          <w:rFonts w:ascii="Calibri" w:hAnsi="Calibri"/>
          <w:b/>
          <w:color w:val="525866"/>
          <w:sz w:val="22"/>
        </w:rPr>
        <w:t>Excess capacity in recycled board (Waco facility) noted.</w:t>
      </w:r>
    </w:p>
    <w:p>
      <w:pPr>
        <w:pStyle w:val="ListBullet"/>
        <w:ind w:left="360" w:hanging="360"/>
      </w:pPr>
      <w:r>
        <w:rPr>
          <w:rFonts w:ascii="Calibri" w:hAnsi="Calibri"/>
          <w:i/>
          <w:color w:val="525866"/>
          <w:sz w:val="22"/>
        </w:rPr>
        <w:t>IP Read-Through:</w:t>
      </w:r>
      <w:r>
        <w:rPr>
          <w:rFonts w:ascii="Calibri" w:hAnsi="Calibri"/>
          <w:color w:val="525866"/>
          <w:sz w:val="22"/>
        </w:rPr>
        <w:t xml:space="preserve"> Potential negative signal for recycled containerboard pricing, though IP's primary product is virgin kraft-based corrugated. Monitor for any spillover into OCC pricing dynamics.</w:t>
      </w:r>
    </w:p>
    <w:p>
      <w:pPr>
        <w:pStyle w:val="Heading2"/>
      </w:pPr>
      <w:r>
        <w:rPr>
          <w:rFonts w:ascii="Calibri" w:hAnsi="Calibri"/>
          <w:b/>
          <w:color w:val="3B4259"/>
          <w:sz w:val="28"/>
        </w:rPr>
        <w:t>8C. Sonoco Products (SON) — Q2 2026 Earnings Call, July 22–23, 2026</w:t>
      </w:r>
    </w:p>
    <w:p>
      <w:r>
        <w:rPr>
          <w:rFonts w:ascii="Calibri" w:hAnsi="Calibri"/>
          <w:b/>
          <w:color w:val="525866"/>
          <w:sz w:val="22"/>
        </w:rPr>
        <w:t xml:space="preserve">Read-Through Classification: </w:t>
      </w:r>
      <w:r>
        <w:rPr>
          <w:rFonts w:ascii="Calibri" w:hAnsi="Calibri"/>
          <w:b/>
          <w:color w:val="002FA7"/>
          <w:sz w:val="22"/>
        </w:rPr>
        <w:t>Partial Read-Through</w:t>
      </w:r>
      <w:r>
        <w:rPr>
          <w:rFonts w:ascii="Calibri" w:hAnsi="Calibri"/>
          <w:color w:val="525866"/>
          <w:sz w:val="22"/>
        </w:rPr>
        <w:t xml:space="preserve"> — SON focuses on industrial packaging (tubes, cores, protective packaging) with some corrugated exposure; cost structure overlaps with IP on fiber and energy.</w:t>
      </w:r>
    </w:p>
    <w:p>
      <w:pPr>
        <w:pStyle w:val="ListBullet"/>
        <w:ind w:left="360" w:hanging="360"/>
      </w:pPr>
      <w:r>
        <w:rPr>
          <w:rFonts w:ascii="Calibri" w:hAnsi="Calibri"/>
          <w:b/>
          <w:color w:val="525866"/>
          <w:sz w:val="22"/>
        </w:rPr>
        <w:t>SON reported Q2 2026 results on July 22–23, 2026.</w:t>
      </w:r>
      <w:r>
        <w:rPr>
          <w:rFonts w:ascii="Calibri" w:hAnsi="Calibri"/>
          <w:color w:val="525866"/>
          <w:sz w:val="22"/>
        </w:rPr>
        <w:t xml:space="preserve"> The 8-K filing confirms SON reported its Q2 2026 results, providing a contemporaneous read on industrial packaging conditions heading into IP's print.</w:t>
      </w:r>
    </w:p>
    <w:p>
      <w:pPr>
        <w:pStyle w:val="ListBullet"/>
        <w:ind w:left="360" w:hanging="360"/>
      </w:pPr>
      <w:r>
        <w:rPr>
          <w:rFonts w:ascii="Calibri" w:hAnsi="Calibri"/>
          <w:i/>
          <w:color w:val="525866"/>
          <w:sz w:val="22"/>
        </w:rPr>
        <w:t>IP Read-Through:</w:t>
      </w:r>
      <w:r>
        <w:rPr>
          <w:rFonts w:ascii="Calibri" w:hAnsi="Calibri"/>
          <w:color w:val="525866"/>
          <w:sz w:val="22"/>
        </w:rPr>
        <w:t xml:space="preserve"> SON's Q2 results (reported one week before IP) provide a real-time read on industrial packaging demand, fiber costs, and pricing dynamics. Any commentary on demand softness or cost escalation in SON's industrial packaging segment would be a direct read-through to IP's corrugated business.</w:t>
      </w:r>
    </w:p>
    <w:p>
      <w:pPr>
        <w:pStyle w:val="Heading2"/>
      </w:pPr>
      <w:r>
        <w:rPr>
          <w:rFonts w:ascii="Calibri" w:hAnsi="Calibri"/>
          <w:b/>
          <w:color w:val="3B4259"/>
          <w:sz w:val="28"/>
        </w:rPr>
        <w:t>8D. Sealed Air (SW) — Q2 2026 Earnings Call, July 29, 2026</w:t>
      </w:r>
    </w:p>
    <w:p>
      <w:r>
        <w:rPr>
          <w:rFonts w:ascii="Calibri" w:hAnsi="Calibri"/>
          <w:b/>
          <w:color w:val="525866"/>
          <w:sz w:val="22"/>
        </w:rPr>
        <w:t xml:space="preserve">Read-Through Classification: </w:t>
      </w:r>
      <w:r>
        <w:rPr>
          <w:rFonts w:ascii="Calibri" w:hAnsi="Calibri"/>
          <w:b/>
          <w:color w:val="002FA7"/>
          <w:sz w:val="22"/>
        </w:rPr>
        <w:t>Partial Read-Through</w:t>
      </w:r>
      <w:r>
        <w:rPr>
          <w:rFonts w:ascii="Calibri" w:hAnsi="Calibri"/>
          <w:color w:val="525866"/>
          <w:sz w:val="22"/>
        </w:rPr>
        <w:t xml:space="preserve"> — SW focuses on protective and food packaging (Cryovac, Bubble Wrap); limited direct corrugated overlap but shares end-market exposure to e-commerce and food processing.</w:t>
      </w:r>
    </w:p>
    <w:p>
      <w:pPr>
        <w:pStyle w:val="ListBullet"/>
        <w:ind w:left="360" w:hanging="360"/>
      </w:pPr>
      <w:r>
        <w:rPr>
          <w:rFonts w:ascii="Calibri" w:hAnsi="Calibri"/>
          <w:b/>
          <w:color w:val="525866"/>
          <w:sz w:val="22"/>
        </w:rPr>
        <w:t>SW reported Q2 2026 results on July 29, 2026 (same day as this preview).</w:t>
      </w:r>
      <w:r>
        <w:rPr>
          <w:rFonts w:ascii="Calibri" w:hAnsi="Calibri"/>
          <w:color w:val="525866"/>
          <w:sz w:val="22"/>
        </w:rPr>
        <w:t xml:space="preserve"> The 8-K and earnings release confirm SW reported its Q2 2026 results contemporaneously with IP's earnings eve.</w:t>
      </w:r>
    </w:p>
    <w:p>
      <w:pPr>
        <w:pStyle w:val="ListBullet"/>
        <w:ind w:left="360" w:hanging="360"/>
      </w:pPr>
      <w:r>
        <w:rPr>
          <w:rFonts w:ascii="Calibri" w:hAnsi="Calibri"/>
          <w:i/>
          <w:color w:val="525866"/>
          <w:sz w:val="22"/>
        </w:rPr>
        <w:t>IP Read-Through:</w:t>
      </w:r>
      <w:r>
        <w:rPr>
          <w:rFonts w:ascii="Calibri" w:hAnsi="Calibri"/>
          <w:color w:val="525866"/>
          <w:sz w:val="22"/>
        </w:rPr>
        <w:t xml:space="preserve"> SW's commentary on e-commerce packaging demand, food processing volumes, and input cost trends (resins, energy) provides a partial read on the broader packaging demand environment. SW's business model differences (protective vs. corrugated) limit direct applicability to IP's EBITDA trajectory.</w:t>
      </w:r>
    </w:p>
    <w:p>
      <w:pPr>
        <w:pStyle w:val="Heading2"/>
      </w:pPr>
      <w:r>
        <w:rPr>
          <w:rFonts w:ascii="Calibri" w:hAnsi="Calibri"/>
          <w:b/>
          <w:color w:val="3B4259"/>
          <w:sz w:val="28"/>
        </w:rPr>
        <w:t>8E. Greif (GEF) — Q3 2026 Earnings Call, July 29, 2026</w:t>
      </w:r>
    </w:p>
    <w:p>
      <w:r>
        <w:rPr>
          <w:rFonts w:ascii="Calibri" w:hAnsi="Calibri"/>
          <w:b/>
          <w:color w:val="525866"/>
          <w:sz w:val="22"/>
        </w:rPr>
        <w:t xml:space="preserve">Read-Through Classification: </w:t>
      </w:r>
      <w:r>
        <w:rPr>
          <w:rFonts w:ascii="Calibri" w:hAnsi="Calibri"/>
          <w:b/>
          <w:color w:val="002FA7"/>
          <w:sz w:val="22"/>
        </w:rPr>
        <w:t>Partial Read-Through</w:t>
      </w:r>
      <w:r>
        <w:rPr>
          <w:rFonts w:ascii="Calibri" w:hAnsi="Calibri"/>
          <w:color w:val="525866"/>
          <w:sz w:val="22"/>
        </w:rPr>
        <w:t xml:space="preserve"> — GEF focuses on industrial packaging (steel/fiber drums, IBCs); limited corrugated overlap but shares industrial end-market exposure.</w:t>
      </w:r>
    </w:p>
    <w:p>
      <w:pPr>
        <w:pStyle w:val="ListBullet"/>
        <w:ind w:left="360" w:hanging="360"/>
      </w:pPr>
      <w:r>
        <w:rPr>
          <w:rFonts w:ascii="Calibri" w:hAnsi="Calibri"/>
          <w:b/>
          <w:color w:val="525866"/>
          <w:sz w:val="22"/>
        </w:rPr>
        <w:t>GEF reported its Q3 FY2026 (fiscal quarter ending July 2026) results on July 29, 2026.</w:t>
      </w:r>
      <w:r>
        <w:rPr>
          <w:rFonts w:ascii="Calibri" w:hAnsi="Calibri"/>
          <w:color w:val="525866"/>
          <w:sz w:val="22"/>
        </w:rPr>
        <w:t xml:space="preserve"> GEF's fiscal calendar is offset from IP's, so this represents GEF's most recent quarter.</w:t>
      </w:r>
    </w:p>
    <w:p>
      <w:pPr>
        <w:pStyle w:val="ListBullet"/>
        <w:ind w:left="360" w:hanging="360"/>
      </w:pPr>
      <w:r>
        <w:rPr>
          <w:rFonts w:ascii="Calibri" w:hAnsi="Calibri"/>
          <w:i/>
          <w:color w:val="525866"/>
          <w:sz w:val="22"/>
        </w:rPr>
        <w:t>IP Read-Through:</w:t>
      </w:r>
      <w:r>
        <w:rPr>
          <w:rFonts w:ascii="Calibri" w:hAnsi="Calibri"/>
          <w:color w:val="525866"/>
          <w:sz w:val="22"/>
        </w:rPr>
        <w:t xml:space="preserve"> GEF's commentary on industrial demand trends, chemical/specialty end-market volumes, and input cost dynamics (steel, fiber) provides a partial read on the industrial packaging environment. GEF's corrugated operations (acquired from Greif by PKG) are no longer part of GEF's portfolio, limiting direct corrugated read-through.</w:t>
      </w:r>
    </w:p>
    <w:p>
      <w:pPr>
        <w:pStyle w:val="Heading2"/>
      </w:pPr>
      <w:r>
        <w:rPr>
          <w:rFonts w:ascii="Calibri" w:hAnsi="Calibri"/>
          <w:b/>
          <w:color w:val="3B4259"/>
          <w:sz w:val="28"/>
        </w:rPr>
        <w:t>8F. Dow Inc. (DOW) — Q2 2026 Earnings, July 23, 2026</w:t>
      </w:r>
    </w:p>
    <w:p>
      <w:r>
        <w:rPr>
          <w:rFonts w:ascii="Calibri" w:hAnsi="Calibri"/>
          <w:b/>
          <w:color w:val="525866"/>
          <w:sz w:val="22"/>
        </w:rPr>
        <w:t xml:space="preserve">Read-Through Classification: </w:t>
      </w:r>
      <w:r>
        <w:rPr>
          <w:rFonts w:ascii="Calibri" w:hAnsi="Calibri"/>
          <w:b/>
          <w:color w:val="002FA7"/>
          <w:sz w:val="22"/>
        </w:rPr>
        <w:t>Partial Read-Through</w:t>
      </w:r>
      <w:r>
        <w:rPr>
          <w:rFonts w:ascii="Calibri" w:hAnsi="Calibri"/>
          <w:color w:val="525866"/>
          <w:sz w:val="22"/>
        </w:rPr>
        <w:t xml:space="preserve"> — DOW's packaging and specialty plastics segment competes with fiber-based packaging in some end markets; DOW's macro commentary on demand and input costs is relevant.</w:t>
      </w:r>
    </w:p>
    <w:p>
      <w:pPr>
        <w:pStyle w:val="ListBullet"/>
        <w:ind w:left="360" w:hanging="360"/>
      </w:pPr>
      <w:r>
        <w:rPr>
          <w:rFonts w:ascii="Calibri" w:hAnsi="Calibri"/>
          <w:b/>
          <w:color w:val="525866"/>
          <w:sz w:val="22"/>
        </w:rPr>
        <w:t>DOW reported Q2 EPS of $1.44, beating consensus of $1.31.</w:t>
      </w:r>
      <w:r>
        <w:rPr>
          <w:rFonts w:ascii="Calibri" w:hAnsi="Calibri"/>
          <w:color w:val="525866"/>
          <w:sz w:val="22"/>
        </w:rPr>
        <w:t xml:space="preserve"> Packaging and specialty plastics segment net sales rose 27% YoY to $6.4B, driven by higher polyethylene prices in all regions. DOW cited Middle East conflict-driven supply shock as a key tailwind.</w:t>
      </w:r>
    </w:p>
    <w:p>
      <w:pPr>
        <w:pStyle w:val="ListBullet"/>
        <w:ind w:left="360" w:hanging="360"/>
      </w:pPr>
      <w:r>
        <w:rPr>
          <w:rFonts w:ascii="Calibri" w:hAnsi="Calibri"/>
          <w:b/>
          <w:color w:val="525866"/>
          <w:sz w:val="22"/>
        </w:rPr>
        <w:t>DOW macro commentary:</w:t>
      </w:r>
      <w:r>
        <w:rPr>
          <w:rFonts w:ascii="Calibri" w:hAnsi="Calibri"/>
          <w:color w:val="525866"/>
          <w:sz w:val="22"/>
        </w:rPr>
        <w:t xml:space="preserve"> "Resilient global packaging demand, robust growth in data center demand, and resilient U.S. consumer spending." However, "China's consumer demand remains soft and uneven, and the U.S. housing market remains weak due to affordability concerns and high mortgage rates."</w:t>
      </w:r>
    </w:p>
    <w:p>
      <w:pPr>
        <w:pStyle w:val="ListBullet"/>
        <w:ind w:left="360" w:hanging="360"/>
      </w:pPr>
      <w:r>
        <w:rPr>
          <w:rFonts w:ascii="Calibri" w:hAnsi="Calibri"/>
          <w:i/>
          <w:color w:val="525866"/>
          <w:sz w:val="22"/>
        </w:rPr>
        <w:t>IP Read-Through:</w:t>
      </w:r>
      <w:r>
        <w:rPr>
          <w:rFonts w:ascii="Calibri" w:hAnsi="Calibri"/>
          <w:color w:val="525866"/>
          <w:sz w:val="22"/>
        </w:rPr>
        <w:t xml:space="preserve"> DOW's resilient global packaging demand commentary is broadly supportive of IP's volume outlook. The data center build-out theme (also flagged by PKG) is a positive for corrugated demand (server/equipment packaging). China softness and weak U.S. housing are modest negatives for IP's industrial corrugated end markets but are already embedded in IP's guidance.</w:t>
      </w:r>
    </w:p>
    <w:p>
      <w:pPr>
        <w:pStyle w:val="ListBullet"/>
        <w:ind w:left="360" w:hanging="360"/>
      </w:pPr>
      <w:r>
        <w:rPr>
          <w:rFonts w:ascii="Calibri" w:hAnsi="Calibri"/>
          <w:b/>
          <w:color w:val="525866"/>
          <w:sz w:val="22"/>
        </w:rPr>
        <w:t>DOW increased its cost savings target from restructuring by ~$200M.</w:t>
      </w:r>
      <w:r>
        <w:rPr>
          <w:rFonts w:ascii="Calibri" w:hAnsi="Calibri"/>
          <w:color w:val="525866"/>
          <w:sz w:val="22"/>
        </w:rPr>
        <w:t xml:space="preserve"> Q3 EBITDA guidance of $1.75B fell slightly short of Street expectations of $1.86B.</w:t>
      </w:r>
    </w:p>
    <w:p>
      <w:pPr>
        <w:pStyle w:val="ListBullet"/>
        <w:ind w:left="360" w:hanging="360"/>
      </w:pPr>
      <w:r>
        <w:rPr>
          <w:rFonts w:ascii="Calibri" w:hAnsi="Calibri"/>
          <w:i/>
          <w:color w:val="525866"/>
          <w:sz w:val="22"/>
        </w:rPr>
        <w:t>IP Read-Through:</w:t>
      </w:r>
      <w:r>
        <w:rPr>
          <w:rFonts w:ascii="Calibri" w:hAnsi="Calibri"/>
          <w:color w:val="525866"/>
          <w:sz w:val="22"/>
        </w:rPr>
        <w:t xml:space="preserve"> DOW's Q3 guidance miss on EBITDA (despite Q2 beat) is a reminder that cost inflation and macro headwinds can persist even when pricing improves. The restructuring cost savings acceleration is a positive read-through for IP's own 80/20 cost-out program credibility.</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Classification</w:t>
            </w:r>
          </w:p>
        </w:tc>
        <w:tc>
          <w:tcPr>
            <w:tcW w:type="dxa" w:w="1728"/>
            <w:shd w:val="clear" w:color="auto" w:fill="3B4259"/>
          </w:tcPr>
          <w:p>
            <w:r>
              <w:rPr>
                <w:rFonts w:ascii="Calibri" w:hAnsi="Calibri"/>
                <w:b/>
                <w:color w:val="FFFFFF"/>
                <w:sz w:val="22"/>
              </w:rPr>
              <w:t>Key Q2 2026 Signal for IP</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PKG</w:t>
            </w:r>
          </w:p>
        </w:tc>
        <w:tc>
          <w:tcPr>
            <w:tcW w:type="dxa" w:w="1728"/>
          </w:tcPr>
          <w:p>
            <w:r>
              <w:rPr>
                <w:rFonts w:ascii="Calibri" w:hAnsi="Calibri"/>
                <w:sz w:val="22"/>
              </w:rPr>
              <w:t>Jun 10, 2026</w:t>
            </w:r>
          </w:p>
        </w:tc>
        <w:tc>
          <w:tcPr>
            <w:tcW w:type="dxa" w:w="1728"/>
          </w:tcPr>
          <w:p>
            <w:r>
              <w:rPr>
                <w:rFonts w:ascii="Calibri" w:hAnsi="Calibri"/>
                <w:sz w:val="22"/>
              </w:rPr>
              <w:t>Direct</w:t>
            </w:r>
          </w:p>
        </w:tc>
        <w:tc>
          <w:tcPr>
            <w:tcW w:type="dxa" w:w="1728"/>
          </w:tcPr>
          <w:p>
            <w:r>
              <w:rPr>
                <w:rFonts w:ascii="Calibri" w:hAnsi="Calibri"/>
                <w:sz w:val="22"/>
              </w:rPr>
              <w:t>Robust corrugated demand (+3.5–4.5% legacy); tight containerboard market; $50/ton price increases being recognized; freight/OCC headwinds</w:t>
            </w:r>
          </w:p>
        </w:tc>
        <w:tc>
          <w:tcPr>
            <w:tcW w:type="dxa" w:w="1728"/>
          </w:tcPr>
          <w:p>
            <w:r>
              <w:rPr>
                <w:rFonts w:ascii="Calibri" w:hAnsi="Calibri"/>
                <w:b/>
                <w:color w:val="30A46C"/>
                <w:sz w:val="22"/>
              </w:rPr>
              <w:t>Positive on volume/price; Negative on costs</w:t>
            </w:r>
          </w:p>
        </w:tc>
      </w:tr>
      <w:tr>
        <w:tc>
          <w:tcPr>
            <w:tcW w:type="dxa" w:w="1728"/>
          </w:tcPr>
          <w:p>
            <w:r>
              <w:rPr>
                <w:rFonts w:ascii="Calibri" w:hAnsi="Calibri"/>
                <w:sz w:val="22"/>
              </w:rPr>
              <w:t>GPK</w:t>
            </w:r>
          </w:p>
        </w:tc>
        <w:tc>
          <w:tcPr>
            <w:tcW w:type="dxa" w:w="1728"/>
          </w:tcPr>
          <w:p>
            <w:r>
              <w:rPr>
                <w:rFonts w:ascii="Calibri" w:hAnsi="Calibri"/>
                <w:sz w:val="22"/>
              </w:rPr>
              <w:t>Jun 9, 2026</w:t>
            </w:r>
          </w:p>
        </w:tc>
        <w:tc>
          <w:tcPr>
            <w:tcW w:type="dxa" w:w="1728"/>
          </w:tcPr>
          <w:p>
            <w:r>
              <w:rPr>
                <w:rFonts w:ascii="Calibri" w:hAnsi="Calibri"/>
                <w:sz w:val="22"/>
              </w:rPr>
              <w:t>Partial</w:t>
            </w:r>
          </w:p>
        </w:tc>
        <w:tc>
          <w:tcPr>
            <w:tcW w:type="dxa" w:w="1728"/>
          </w:tcPr>
          <w:p>
            <w:r>
              <w:rPr>
                <w:rFonts w:ascii="Calibri" w:hAnsi="Calibri"/>
                <w:sz w:val="22"/>
              </w:rPr>
              <w:t>$65M+ inflation surprise; $25–$30/ton transport inflation for paper; price increases across grades; resilient demand; no customer inventory buildup</w:t>
            </w:r>
          </w:p>
        </w:tc>
        <w:tc>
          <w:tcPr>
            <w:tcW w:type="dxa" w:w="1728"/>
          </w:tcPr>
          <w:p>
            <w:r>
              <w:rPr>
                <w:rFonts w:ascii="Calibri" w:hAnsi="Calibri"/>
                <w:sz w:val="22"/>
              </w:rPr>
              <w:t>Mixed — cost headwinds confirmed; pricing environment supportive</w:t>
            </w:r>
          </w:p>
        </w:tc>
      </w:tr>
      <w:tr>
        <w:tc>
          <w:tcPr>
            <w:tcW w:type="dxa" w:w="1728"/>
          </w:tcPr>
          <w:p>
            <w:r>
              <w:rPr>
                <w:rFonts w:ascii="Calibri" w:hAnsi="Calibri"/>
                <w:sz w:val="22"/>
              </w:rPr>
              <w:t>DOW</w:t>
            </w:r>
          </w:p>
        </w:tc>
        <w:tc>
          <w:tcPr>
            <w:tcW w:type="dxa" w:w="1728"/>
          </w:tcPr>
          <w:p>
            <w:r>
              <w:rPr>
                <w:rFonts w:ascii="Calibri" w:hAnsi="Calibri"/>
                <w:sz w:val="22"/>
              </w:rPr>
              <w:t>Jul 23, 2026</w:t>
            </w:r>
          </w:p>
        </w:tc>
        <w:tc>
          <w:tcPr>
            <w:tcW w:type="dxa" w:w="1728"/>
          </w:tcPr>
          <w:p>
            <w:r>
              <w:rPr>
                <w:rFonts w:ascii="Calibri" w:hAnsi="Calibri"/>
                <w:sz w:val="22"/>
              </w:rPr>
              <w:t>Partial</w:t>
            </w:r>
          </w:p>
        </w:tc>
        <w:tc>
          <w:tcPr>
            <w:tcW w:type="dxa" w:w="1728"/>
          </w:tcPr>
          <w:p>
            <w:r>
              <w:rPr>
                <w:rFonts w:ascii="Calibri" w:hAnsi="Calibri"/>
                <w:sz w:val="22"/>
              </w:rPr>
              <w:t>Resilient global packaging demand; data center build-out positive; China/housing soft; restructuring cost savings accelerated</w:t>
            </w:r>
          </w:p>
        </w:tc>
        <w:tc>
          <w:tcPr>
            <w:tcW w:type="dxa" w:w="1728"/>
          </w:tcPr>
          <w:p>
            <w:r>
              <w:rPr>
                <w:rFonts w:ascii="Calibri" w:hAnsi="Calibri"/>
                <w:sz w:val="22"/>
              </w:rPr>
              <w:t>Broadly positive on demand; cost savings read-through supportive</w:t>
            </w:r>
          </w:p>
        </w:tc>
      </w:tr>
      <w:tr>
        <w:tc>
          <w:tcPr>
            <w:tcW w:type="dxa" w:w="1728"/>
          </w:tcPr>
          <w:p>
            <w:r>
              <w:rPr>
                <w:rFonts w:ascii="Calibri" w:hAnsi="Calibri"/>
                <w:sz w:val="22"/>
              </w:rPr>
              <w:t>SON</w:t>
            </w:r>
          </w:p>
        </w:tc>
        <w:tc>
          <w:tcPr>
            <w:tcW w:type="dxa" w:w="1728"/>
          </w:tcPr>
          <w:p>
            <w:r>
              <w:rPr>
                <w:rFonts w:ascii="Calibri" w:hAnsi="Calibri"/>
                <w:sz w:val="22"/>
              </w:rPr>
              <w:t>Jul 22–23, 2026</w:t>
            </w:r>
          </w:p>
        </w:tc>
        <w:tc>
          <w:tcPr>
            <w:tcW w:type="dxa" w:w="1728"/>
          </w:tcPr>
          <w:p>
            <w:r>
              <w:rPr>
                <w:rFonts w:ascii="Calibri" w:hAnsi="Calibri"/>
                <w:sz w:val="22"/>
              </w:rPr>
              <w:t>Partial</w:t>
            </w:r>
          </w:p>
        </w:tc>
        <w:tc>
          <w:tcPr>
            <w:tcW w:type="dxa" w:w="1728"/>
          </w:tcPr>
          <w:p>
            <w:r>
              <w:rPr>
                <w:rFonts w:ascii="Calibri" w:hAnsi="Calibri"/>
                <w:sz w:val="22"/>
              </w:rPr>
              <w:t>Q2 2026 results reported; industrial packaging conditions contemporaneous read</w:t>
            </w:r>
          </w:p>
        </w:tc>
        <w:tc>
          <w:tcPr>
            <w:tcW w:type="dxa" w:w="1728"/>
          </w:tcPr>
          <w:p>
            <w:r>
              <w:rPr>
                <w:rFonts w:ascii="Calibri" w:hAnsi="Calibri"/>
                <w:sz w:val="22"/>
              </w:rPr>
              <w:t>Monitor for demand/cost commentary</w:t>
            </w:r>
          </w:p>
        </w:tc>
      </w:tr>
      <w:tr>
        <w:tc>
          <w:tcPr>
            <w:tcW w:type="dxa" w:w="1728"/>
          </w:tcPr>
          <w:p>
            <w:r>
              <w:rPr>
                <w:rFonts w:ascii="Calibri" w:hAnsi="Calibri"/>
                <w:sz w:val="22"/>
              </w:rPr>
              <w:t>SW</w:t>
            </w:r>
          </w:p>
        </w:tc>
        <w:tc>
          <w:tcPr>
            <w:tcW w:type="dxa" w:w="1728"/>
          </w:tcPr>
          <w:p>
            <w:r>
              <w:rPr>
                <w:rFonts w:ascii="Calibri" w:hAnsi="Calibri"/>
                <w:sz w:val="22"/>
              </w:rPr>
              <w:t>Jul 29, 2026</w:t>
            </w:r>
          </w:p>
        </w:tc>
        <w:tc>
          <w:tcPr>
            <w:tcW w:type="dxa" w:w="1728"/>
          </w:tcPr>
          <w:p>
            <w:r>
              <w:rPr>
                <w:rFonts w:ascii="Calibri" w:hAnsi="Calibri"/>
                <w:sz w:val="22"/>
              </w:rPr>
              <w:t>Partial</w:t>
            </w:r>
          </w:p>
        </w:tc>
        <w:tc>
          <w:tcPr>
            <w:tcW w:type="dxa" w:w="1728"/>
          </w:tcPr>
          <w:p>
            <w:r>
              <w:rPr>
                <w:rFonts w:ascii="Calibri" w:hAnsi="Calibri"/>
                <w:sz w:val="22"/>
              </w:rPr>
              <w:t>Q2 2026 results reported same day; e-commerce/food packaging demand read</w:t>
            </w:r>
          </w:p>
        </w:tc>
        <w:tc>
          <w:tcPr>
            <w:tcW w:type="dxa" w:w="1728"/>
          </w:tcPr>
          <w:p>
            <w:r>
              <w:rPr>
                <w:rFonts w:ascii="Calibri" w:hAnsi="Calibri"/>
                <w:sz w:val="22"/>
              </w:rPr>
              <w:t>Monitor for demand/cost commentary</w:t>
            </w:r>
          </w:p>
        </w:tc>
      </w:tr>
      <w:tr>
        <w:tc>
          <w:tcPr>
            <w:tcW w:type="dxa" w:w="1728"/>
          </w:tcPr>
          <w:p>
            <w:r>
              <w:rPr>
                <w:rFonts w:ascii="Calibri" w:hAnsi="Calibri"/>
                <w:sz w:val="22"/>
              </w:rPr>
              <w:t>GEF</w:t>
            </w:r>
          </w:p>
        </w:tc>
        <w:tc>
          <w:tcPr>
            <w:tcW w:type="dxa" w:w="1728"/>
          </w:tcPr>
          <w:p>
            <w:r>
              <w:rPr>
                <w:rFonts w:ascii="Calibri" w:hAnsi="Calibri"/>
                <w:sz w:val="22"/>
              </w:rPr>
              <w:t>Jul 29, 2026</w:t>
            </w:r>
          </w:p>
        </w:tc>
        <w:tc>
          <w:tcPr>
            <w:tcW w:type="dxa" w:w="1728"/>
          </w:tcPr>
          <w:p>
            <w:r>
              <w:rPr>
                <w:rFonts w:ascii="Calibri" w:hAnsi="Calibri"/>
                <w:sz w:val="22"/>
              </w:rPr>
              <w:t>Partial</w:t>
            </w:r>
          </w:p>
        </w:tc>
        <w:tc>
          <w:tcPr>
            <w:tcW w:type="dxa" w:w="1728"/>
          </w:tcPr>
          <w:p>
            <w:r>
              <w:rPr>
                <w:rFonts w:ascii="Calibri" w:hAnsi="Calibri"/>
                <w:sz w:val="22"/>
              </w:rPr>
              <w:t>Q3 FY2026 results reported same day; industrial packaging demand read</w:t>
            </w:r>
          </w:p>
        </w:tc>
        <w:tc>
          <w:tcPr>
            <w:tcW w:type="dxa" w:w="1728"/>
          </w:tcPr>
          <w:p>
            <w:r>
              <w:rPr>
                <w:rFonts w:ascii="Calibri" w:hAnsi="Calibri"/>
                <w:sz w:val="22"/>
              </w:rPr>
              <w:t>Monitor for industrial demand commentary</w:t>
            </w:r>
          </w:p>
        </w:tc>
      </w:tr>
    </w:tbl>
    <w:p>
      <w:r>
        <w:rPr>
          <w:rFonts w:ascii="Calibri" w:hAnsi="Calibri"/>
          <w:b/>
          <w:color w:val="525866"/>
          <w:sz w:val="22"/>
        </w:rPr>
        <w:t xml:space="preserve">Overall Peer Read-Through Assessment: </w:t>
      </w:r>
      <w:r>
        <w:rPr>
          <w:rFonts w:ascii="Calibri" w:hAnsi="Calibri"/>
          <w:color w:val="525866"/>
          <w:sz w:val="22"/>
        </w:rPr>
        <w:t xml:space="preserve">The peer commentary from June 2026 (PKG, GPK) paints a </w:t>
      </w:r>
      <w:r>
        <w:rPr>
          <w:rFonts w:ascii="Calibri" w:hAnsi="Calibri"/>
          <w:b/>
          <w:color w:val="525866"/>
          <w:sz w:val="22"/>
        </w:rPr>
        <w:t>constructive but cost-pressured picture</w:t>
      </w:r>
      <w:r>
        <w:rPr>
          <w:rFonts w:ascii="Calibri" w:hAnsi="Calibri"/>
          <w:color w:val="525866"/>
          <w:sz w:val="22"/>
        </w:rPr>
        <w:t xml:space="preserve"> for Q2 2026 North American corrugated/containerboard conditions: demand is robust and pricing increases are being implemented, but freight and OCC cost inflation is running above plan for all producers. This is broadly consistent with IP's Q2 guidance and suggests the volume and pricing lines are more likely to be in-line-to-positive, while the cost line remains the key risk. The July 2026 peer prints (SON, SW, GEF, DOW) provide contemporaneous confirmation of the demand environment but require monitoring for any incremental cost or demand deterioration commentary.</w:t>
      </w:r>
    </w:p>
    <w:p>
      <w:r>
        <w:rPr>
          <w:rFonts w:ascii="Calibri" w:hAnsi="Calibri"/>
          <w:b/>
          <w:color w:val="525866"/>
          <w:sz w:val="22"/>
        </w:rPr>
        <w:t xml:space="preserve">Sources: </w:t>
      </w:r>
      <w:r>
        <w:rPr>
          <w:rFonts w:ascii="Calibri" w:hAnsi="Calibri"/>
          <w:color w:val="525866"/>
          <w:sz w:val="22"/>
        </w:rPr>
        <w:t>PKG Wells Fargo Industrials &amp; Materials Conference transcript (June 10, 2026); GPK Wells Fargo Industrials &amp; Materials Conference transcript (June 9, 2026); DOW Q2 2026 Earnings Release and News Digest (July 23, 2026); SON Q2 2026 Earnings Release (July 22–23, 2026); SW Q2 2026 Earnings Release (July 29, 2026); GEF Q3 2026 Earnings Call (July 29, 2026). All sourced from Implied financial documents database.</w:t>
      </w:r>
    </w:p>
    <w:p>
      <w:r>
        <w:br w:type="page"/>
      </w:r>
    </w:p>
    <w:p>
      <w:pPr>
        <w:pStyle w:val="Heading2"/>
      </w:pPr>
      <w:r>
        <w:rPr>
          <w:rFonts w:ascii="Calibri" w:hAnsi="Calibri"/>
          <w:b/>
          <w:color w:val="3B4259"/>
          <w:sz w:val="28"/>
        </w:rPr>
        <w:t>Disclosures &amp;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All KPI consensus estimates and actuals sourced from Visible Alpha (https://insights.visiblealpha.com/mex/IP/NMV/SG, /IS, /IP, /CF). Data as of July 29, 2026.</w:t>
      </w:r>
    </w:p>
    <w:p>
      <w:pPr>
        <w:pStyle w:val="ListBullet"/>
        <w:ind w:left="360" w:hanging="360"/>
      </w:pPr>
      <w:r>
        <w:rPr>
          <w:rFonts w:ascii="Calibri" w:hAnsi="Calibri"/>
          <w:b/>
          <w:color w:val="525866"/>
          <w:sz w:val="22"/>
        </w:rPr>
        <w:t>Stock Price Data:</w:t>
      </w:r>
      <w:r>
        <w:rPr>
          <w:rFonts w:ascii="Calibri" w:hAnsi="Calibri"/>
          <w:color w:val="525866"/>
          <w:sz w:val="22"/>
        </w:rPr>
        <w:t xml:space="preserve"> Yahoo Finance via Implied Analytics. Closing prices April 30 – July 28, 2026.</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SEC Form 4 filings via EDGAR (https://www.sec.gov/). Filing window: April 30 – July 29, 2026.</w:t>
      </w:r>
    </w:p>
    <w:p>
      <w:pPr>
        <w:pStyle w:val="ListBullet"/>
        <w:ind w:left="360" w:hanging="360"/>
      </w:pPr>
      <w:r>
        <w:rPr>
          <w:rFonts w:ascii="Calibri" w:hAnsi="Calibri"/>
          <w:b/>
          <w:color w:val="525866"/>
          <w:sz w:val="22"/>
        </w:rPr>
        <w:t>Company Filings:</w:t>
      </w:r>
      <w:r>
        <w:rPr>
          <w:rFonts w:ascii="Calibri" w:hAnsi="Calibri"/>
          <w:color w:val="525866"/>
          <w:sz w:val="22"/>
        </w:rPr>
        <w:t xml:space="preserve"> IP Q1 2026 Earnings Release (April 30, 2026); IP Q1 2026 Earnings Call Transcript (April 30, 2026); IP 8-K Board Changes (July 17, 2026); IP Press Release — Q2 Earnings Date (June 23, 2026).</w:t>
      </w:r>
    </w:p>
    <w:p>
      <w:pPr>
        <w:pStyle w:val="ListBullet"/>
        <w:ind w:left="360" w:hanging="360"/>
      </w:pPr>
      <w:r>
        <w:rPr>
          <w:rFonts w:ascii="Calibri" w:hAnsi="Calibri"/>
          <w:b/>
          <w:color w:val="525866"/>
          <w:sz w:val="22"/>
        </w:rPr>
        <w:t>Peer Transcripts:</w:t>
      </w:r>
      <w:r>
        <w:rPr>
          <w:rFonts w:ascii="Calibri" w:hAnsi="Calibri"/>
          <w:color w:val="525866"/>
          <w:sz w:val="22"/>
        </w:rPr>
        <w:t xml:space="preserve"> PKG and GPK Wells Fargo Industrials &amp; Materials Conference transcripts (June 9–10, 2026) sourced from Implied financial documents database.</w:t>
      </w:r>
    </w:p>
    <w:p>
      <w:pPr>
        <w:pStyle w:val="ListBullet"/>
        <w:ind w:left="360" w:hanging="360"/>
      </w:pPr>
      <w:r>
        <w:rPr>
          <w:rFonts w:ascii="Calibri" w:hAnsi="Calibri"/>
          <w:b/>
          <w:color w:val="525866"/>
          <w:sz w:val="22"/>
        </w:rPr>
        <w:t>News:</w:t>
      </w:r>
      <w:r>
        <w:rPr>
          <w:rFonts w:ascii="Calibri" w:hAnsi="Calibri"/>
          <w:color w:val="525866"/>
          <w:sz w:val="22"/>
        </w:rPr>
        <w:t xml:space="preserve"> Implied News Digest (July 28, 2026) — IP price increase and JPM upgrade; Barron's (July 28, 2026).</w:t>
      </w:r>
    </w:p>
    <w:p>
      <w:pPr>
        <w:pStyle w:val="ListBullet"/>
        <w:ind w:left="360" w:hanging="360"/>
      </w:pPr>
      <w:r>
        <w:rPr>
          <w:rFonts w:ascii="Calibri" w:hAnsi="Calibri"/>
          <w:b/>
          <w:color w:val="525866"/>
          <w:sz w:val="22"/>
        </w:rPr>
        <w:t>Performance Decomposition:</w:t>
      </w:r>
      <w:r>
        <w:rPr>
          <w:rFonts w:ascii="Calibri" w:hAnsi="Calibri"/>
          <w:color w:val="525866"/>
          <w:sz w:val="22"/>
        </w:rPr>
        <w:t xml:space="preserve"> Implied Analytics stock performance decomposition tool (NTM EV/EBITDA as primary valuation metric for IP).</w:t>
      </w:r>
    </w:p>
    <w:p>
      <w:pPr>
        <w:pStyle w:val="ListBullet"/>
        <w:ind w:left="360" w:hanging="360"/>
      </w:pPr>
      <w:r>
        <w:rPr>
          <w:rFonts w:ascii="Calibri" w:hAnsi="Calibri"/>
          <w:i/>
          <w:color w:val="525866"/>
          <w:sz w:val="22"/>
        </w:rPr>
        <w:t>This document is prepared for informational purposes only and does not constitute investment advice. All estimates and consensus figures are as of July 29, 2026 and subject to change.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