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IQVIA before writing the preview. Let me start gathering information from multiple sources.Let me read the most recent quarter's materials and get recent news/analyst views.I have strong fundamentals. Let me get recent analyst sentiment and the year-ago Q2 comparison for context.Let me pull the consensus details from the previews.I now have what I need. Here's the preview.</w:t>
      </w:r>
    </w:p>
    <w:p>
      <w:r>
        <w:pict>
          <v:rect style="width:0;height:1.5pt" o:hralign="center" o:hrstd="t" o:hr="t"/>
        </w:pict>
      </w:r>
    </w:p>
    <w:bookmarkStart w:id="15" w:name="Xfa777988f6bc553a6faca6815e9a2c8cadc3812"/>
    <w:p>
      <w:pPr>
        <w:pStyle w:val="Heading1"/>
      </w:pPr>
      <w:r>
        <w:t xml:space="preserve">IQVIA Holdings (IQV) — Q2 FY2026 Earnings Preview</w:t>
      </w:r>
    </w:p>
    <w:bookmarkStart w:id="9" w:name="X813b4edd5e4f0d91c27de404b88f746ba6a7d50"/>
    <w:p>
      <w:pPr>
        <w:pStyle w:val="Heading3"/>
      </w:pPr>
      <w:r>
        <w:t xml:space="preserve">Reports before market open, Tuesday, July 28, 2026 (2026Q2 Earnings Call)</w:t>
      </w:r>
    </w:p>
    <w:bookmarkEnd w:id="9"/>
    <w:bookmarkStart w:id="10" w:name="the-setup"/>
    <w:p>
      <w:pPr>
        <w:pStyle w:val="Heading2"/>
      </w:pPr>
      <w:r>
        <w:t xml:space="preserve">The Setup</w:t>
      </w:r>
    </w:p>
    <w:p>
      <w:pPr>
        <w:pStyle w:val="FirstParagraph"/>
      </w:pPr>
      <w:r>
        <w:t xml:space="preserve">IQVIA heads into Q2 with momentum and elevated expectations. After a period of biopharma-driven turmoil (post-COVID budget deflation, the IRA, and Trump-era policy noise around MFN pricing, tariffs and FDA changes), management framed Q1 as the quarter where</w:t>
      </w:r>
      <w:r>
        <w:t xml:space="preserve"> </w:t>
      </w:r>
      <w:r>
        <w:rPr>
          <w:b/>
          <w:bCs/>
        </w:rPr>
        <w:t xml:space="preserve">organic growth clearly re-accelerated</w:t>
      </w:r>
      <w:r>
        <w:t xml:space="preserve"> </w:t>
      </w:r>
      <w:r>
        <w:t xml:space="preserve">— organic Commercial Solutions growth doubled year-over-year (to ~5%) and organic R&amp;DS growth tripled (to ~3%). The key question for Q2 is whether that inflection was a one-quarter clean beat or the start of a durable recovery.</w:t>
      </w:r>
    </w:p>
    <w:p>
      <w:pPr>
        <w:pStyle w:val="BodyText"/>
      </w:pPr>
      <w:r>
        <w:t xml:space="preserve">The stock reflects renewed optimism. IQV has rallied hard into the print — from ~</w:t>
      </w:r>
      <m:oMath>
        <m:r>
          <m:t>167</m:t>
        </m:r>
        <m:r>
          <m:t>i</m:t>
        </m:r>
        <m:r>
          <m:t>n</m:t>
        </m:r>
        <m:r>
          <m:t>m</m:t>
        </m:r>
        <m:r>
          <m:t>i</m:t>
        </m:r>
        <m:r>
          <m:t>d</m:t>
        </m:r>
        <m:r>
          <m:rPr>
            <m:sty m:val="p"/>
          </m:rPr>
          <m:t>−</m:t>
        </m:r>
        <m:r>
          <m:t>J</m:t>
        </m:r>
        <m:r>
          <m:t>u</m:t>
        </m:r>
        <m:r>
          <m:t>n</m:t>
        </m:r>
        <m:r>
          <m:t>e</m:t>
        </m:r>
        <m:r>
          <m:t>t</m:t>
        </m:r>
        <m:r>
          <m:t>o</m:t>
        </m:r>
        <m:r>
          <m:rPr>
            <m:sty m:val="p"/>
          </m:rPr>
          <m:t>*</m:t>
        </m:r>
        <m:r>
          <m:rPr>
            <m:sty m:val="p"/>
          </m:rPr>
          <m:t>*</m:t>
        </m:r>
      </m:oMath>
      <w:r>
        <w:t xml:space="preserve">213 on July 27** — recovering most of the ground lost after the February (Q4'25) guidance-driven selloff that took shares from ~</w:t>
      </w:r>
      <m:oMath>
        <m:r>
          <m:t>230</m:t>
        </m:r>
        <m:r>
          <m:t>t</m:t>
        </m:r>
        <m:r>
          <m:t>o</m:t>
        </m:r>
        <m:r>
          <m:t> </m:t>
        </m:r>
      </m:oMath>
      <w:r>
        <w:t xml:space="preserve">180. That leaves the setup vulnerable: expectations are high, and IQV has a history of violent earnings reactions in both directions (the July 2025 print sent shares up ~18%; the February 2026 print cut them ~20%).</w:t>
      </w:r>
    </w:p>
    <w:bookmarkEnd w:id="10"/>
    <w:bookmarkStart w:id="11" w:name="what-the-street-expects"/>
    <w:p>
      <w:pPr>
        <w:pStyle w:val="Heading2"/>
      </w:pPr>
      <w:r>
        <w:t xml:space="preserve">What the Street Expects</w:t>
      </w:r>
    </w:p>
    <w:p>
      <w:pPr>
        <w:pStyle w:val="Compact"/>
        <w:numPr>
          <w:ilvl w:val="0"/>
          <w:numId w:val="1001"/>
        </w:numPr>
      </w:pPr>
      <w:r>
        <w:rPr>
          <w:b/>
          <w:bCs/>
        </w:rPr>
        <w:t xml:space="preserve">Company Q2 guidance:</w:t>
      </w:r>
      <w:r>
        <w:t xml:space="preserve"> </w:t>
      </w:r>
      <w:r>
        <w:t xml:space="preserve">Revenue</w:t>
      </w:r>
      <w:r>
        <w:t xml:space="preserve"> </w:t>
      </w:r>
      <m:oMath>
        <m:r>
          <m:t>4.28</m:t>
        </m:r>
        <m:r>
          <m:rPr>
            <m:sty m:val="p"/>
          </m:rPr>
          <m:t>–</m:t>
        </m:r>
      </m:oMath>
      <w:r>
        <w:rPr>
          <w:b/>
          <w:bCs/>
        </w:rPr>
        <w:t xml:space="preserve">4.34B</w:t>
      </w:r>
      <w:r>
        <w:t xml:space="preserve"> </w:t>
      </w:r>
      <w:r>
        <w:t xml:space="preserve">(+6.5% to +8.0% y/y), Adjusted EBITDA</w:t>
      </w:r>
      <w:r>
        <w:t xml:space="preserve"> </w:t>
      </w:r>
      <m:oMath>
        <m:r>
          <m:t>955</m:t>
        </m:r>
        <m:r>
          <m:rPr>
            <m:sty m:val="p"/>
          </m:rPr>
          <m:t>–</m:t>
        </m:r>
      </m:oMath>
      <w:r>
        <w:rPr>
          <w:b/>
          <w:bCs/>
        </w:rPr>
        <w:t xml:space="preserve">975M</w:t>
      </w:r>
      <w:r>
        <w:t xml:space="preserve"> </w:t>
      </w:r>
      <w:r>
        <w:t xml:space="preserve">(+4.9% to +7.1%), Adjusted Diluted EPS</w:t>
      </w:r>
      <w:r>
        <w:t xml:space="preserve"> </w:t>
      </w:r>
      <m:oMath>
        <m:r>
          <m:t>2.98</m:t>
        </m:r>
        <m:r>
          <m:rPr>
            <m:sty m:val="p"/>
          </m:rPr>
          <m:t>–</m:t>
        </m:r>
      </m:oMath>
      <w:r>
        <w:rPr>
          <w:b/>
          <w:bCs/>
        </w:rPr>
        <w:t xml:space="preserve">3.08</w:t>
      </w:r>
      <w:r>
        <w:t xml:space="preserve"> </w:t>
      </w:r>
      <w:r>
        <w:t xml:space="preserve">(+6.0% to +9.6%).</w:t>
      </w:r>
    </w:p>
    <w:p>
      <w:pPr>
        <w:pStyle w:val="Compact"/>
        <w:numPr>
          <w:ilvl w:val="0"/>
          <w:numId w:val="1001"/>
        </w:numPr>
      </w:pPr>
      <w:r>
        <w:t xml:space="preserve">The Zacks Consensus Estimate for revenues is pegged at $4.3 billion, implying 6.7% year-over-year growth. That sits comfortably inside the guide.</w:t>
      </w:r>
    </w:p>
    <w:p>
      <w:pPr>
        <w:pStyle w:val="Compact"/>
        <w:numPr>
          <w:ilvl w:val="0"/>
          <w:numId w:val="1001"/>
        </w:numPr>
      </w:pPr>
      <w:r>
        <w:t xml:space="preserve">IQV has a decent earnings surprise history, having surpassed the Zacks Consensus Estimate in the trailing four quarters, with an average surprise of 1.6%. Last quarter it beat on both lines — adjusted EPS of $2.90 beat the $2.83 consensus by 2.5%, and revenue of $4.15 billion topped the $4.08 billion mark by 1.6%.</w:t>
      </w:r>
    </w:p>
    <w:p>
      <w:pPr>
        <w:pStyle w:val="Compact"/>
        <w:numPr>
          <w:ilvl w:val="0"/>
          <w:numId w:val="1001"/>
        </w:numPr>
      </w:pPr>
      <w:r>
        <w:rPr>
          <w:b/>
          <w:bCs/>
        </w:rPr>
        <w:t xml:space="preserve">Full year:</w:t>
      </w:r>
      <w:r>
        <w:t xml:space="preserve"> </w:t>
      </w:r>
      <w:r>
        <w:t xml:space="preserve">Guidance is revenue</w:t>
      </w:r>
      <w:r>
        <w:t xml:space="preserve"> </w:t>
      </w:r>
      <m:oMath>
        <m:r>
          <m:t>17.15</m:t>
        </m:r>
        <m:r>
          <m:rPr>
            <m:sty m:val="p"/>
          </m:rPr>
          <m:t>–</m:t>
        </m:r>
      </m:oMath>
      <w:r>
        <w:t xml:space="preserve">17.35B, Adjusted EBITDA</w:t>
      </w:r>
      <w:r>
        <w:t xml:space="preserve"> </w:t>
      </w:r>
      <m:oMath>
        <m:r>
          <m:t>3.975</m:t>
        </m:r>
        <m:r>
          <m:rPr>
            <m:sty m:val="p"/>
          </m:rPr>
          <m:t>–</m:t>
        </m:r>
      </m:oMath>
      <w:r>
        <w:t xml:space="preserve">4.025B, and Adjusted EPS</w:t>
      </w:r>
      <w:r>
        <w:t xml:space="preserve"> </w:t>
      </w:r>
      <m:oMath>
        <m:r>
          <m:t>12.65</m:t>
        </m:r>
        <m:r>
          <m:rPr>
            <m:sty m:val="p"/>
          </m:rPr>
          <m:t>–</m:t>
        </m:r>
      </m:oMath>
      <w:r>
        <w:t xml:space="preserve">12.95 (raised at Q1). The consensus mark for 2026 EPS is set at $12.8, suggesting a 7.4% increase.</w:t>
      </w:r>
    </w:p>
    <w:p>
      <w:pPr>
        <w:pStyle w:val="Compact"/>
        <w:numPr>
          <w:ilvl w:val="0"/>
          <w:numId w:val="1001"/>
        </w:numPr>
      </w:pPr>
      <w:r>
        <w:rPr>
          <w:b/>
          <w:bCs/>
        </w:rPr>
        <w:t xml:space="preserve">Sentiment/targets:</w:t>
      </w:r>
      <w:r>
        <w:t xml:space="preserve"> </w:t>
      </w:r>
      <w:r>
        <w:t xml:space="preserve">Analysts are constructive but not euphoric. According to 22 analysts polled by S&amp;P Global, IQVIA has a consensus rating of "Strong Buy" and an average price target of $225.47. Mizuho recently nudged its target up, and shares have jumped roughly 26% over the past year versus a ~10% decline for the industry.</w:t>
      </w:r>
    </w:p>
    <w:bookmarkEnd w:id="11"/>
    <w:bookmarkStart w:id="12" w:name="key-things-to-watch"/>
    <w:p>
      <w:pPr>
        <w:pStyle w:val="Heading2"/>
      </w:pPr>
      <w:r>
        <w:t xml:space="preserve">Key Things to Watch</w:t>
      </w:r>
    </w:p>
    <w:p>
      <w:pPr>
        <w:pStyle w:val="FirstParagraph"/>
      </w:pPr>
      <w:r>
        <w:rPr>
          <w:b/>
          <w:bCs/>
        </w:rPr>
        <w:t xml:space="preserve">1. R&amp;DS bookings and the book-to-bill optics.</w:t>
      </w:r>
      <w:r>
        <w:t xml:space="preserve"> </w:t>
      </w:r>
      <w:r>
        <w:t xml:space="preserve">This is the single most-scrutinized metric. Q1's headline book-to-bill of 1.04x looked soft, but management insisted it was purely a mix issue — pass-through bookings ran ~1/3 below normal because the quarter's trial mix was heavier on full-service work with fewer reimbursable expenses; net</w:t>
      </w:r>
      <w:r>
        <w:t xml:space="preserve"> </w:t>
      </w:r>
      <w:r>
        <w:rPr>
          <w:b/>
          <w:bCs/>
        </w:rPr>
        <w:t xml:space="preserve">service-fee</w:t>
      </w:r>
      <w:r>
        <w:t xml:space="preserve"> </w:t>
      </w:r>
      <w:r>
        <w:t xml:space="preserve">bookings actually grew double-digits y/y and sequentially, cancellations were normal, and FSP mix was in line with history. Baird's Eric Coldwell walked through the math that a "normal" pass-through mix would have implied ~1.15x — and Bousbib agreed. Watch whether Q2 book-to-bill normalizes back above 1.1x and whether the trailing-twelve-month figure (1.11x at Q1) holds or improves. Bousbib repeatedly warned the quarterly metric is "a bad metric to predict future growth."</w:t>
      </w:r>
    </w:p>
    <w:p>
      <w:pPr>
        <w:pStyle w:val="BodyText"/>
      </w:pPr>
      <w:r>
        <w:rPr>
          <w:b/>
          <w:bCs/>
        </w:rPr>
        <w:t xml:space="preserve">2. Forward demand indicators.</w:t>
      </w:r>
      <w:r>
        <w:t xml:space="preserve"> </w:t>
      </w:r>
      <w:r>
        <w:t xml:space="preserve">At Q1, backlog hit a record</w:t>
      </w:r>
      <w:r>
        <w:t xml:space="preserve"> </w:t>
      </w:r>
      <m:oMath>
        <m:r>
          <m:t>34.2</m:t>
        </m:r>
        <m:r>
          <m:t>B</m:t>
        </m:r>
        <m:r>
          <m:rPr>
            <m:sty m:val="p"/>
          </m:rPr>
          <m:t>*</m:t>
        </m:r>
        <m:r>
          <m:rPr>
            <m:sty m:val="p"/>
          </m:rPr>
          <m:t>*</m:t>
        </m:r>
        <m:r>
          <m:rPr>
            <m:sty m:val="p"/>
          </m:rPr>
          <m:t>,</m:t>
        </m:r>
        <m:r>
          <m:t>w</m:t>
        </m:r>
        <m:r>
          <m:t>i</m:t>
        </m:r>
        <m:r>
          <m:t>t</m:t>
        </m:r>
        <m:r>
          <m:t>h</m:t>
        </m:r>
        <m:r>
          <m:rPr>
            <m:sty m:val="p"/>
          </m:rPr>
          <m:t>*</m:t>
        </m:r>
        <m:r>
          <m:rPr>
            <m:sty m:val="p"/>
          </m:rPr>
          <m:t>*</m:t>
        </m:r>
      </m:oMath>
      <w:r>
        <w:rPr>
          <w:b/>
          <w:bCs/>
        </w:rPr>
        <w:t xml:space="preserve">8.9B</w:t>
      </w:r>
      <w:r>
        <w:t xml:space="preserve"> </w:t>
      </w:r>
      <w:r>
        <w:t xml:space="preserve">expected to convert to revenue over the next twelve months (+7.6% y/y). Qualified pipeline grew mid-single digits and RFP flow grew high-single digits. Crucially,</w:t>
      </w:r>
      <w:r>
        <w:t xml:space="preserve"> </w:t>
      </w:r>
      <w:r>
        <w:rPr>
          <w:b/>
          <w:bCs/>
        </w:rPr>
        <w:t xml:space="preserve">EVP (emerging biopharma) funding hit ~$25B in Q1, nearly double the year-ago level</w:t>
      </w:r>
      <w:r>
        <w:t xml:space="preserve"> </w:t>
      </w:r>
      <w:r>
        <w:t xml:space="preserve">— a leading indicator that typically converts to awards on a 12–18 month lag. Any confirmation that funding strength is translating into RFPs/awards would be a meaningful positive.</w:t>
      </w:r>
    </w:p>
    <w:p>
      <w:pPr>
        <w:pStyle w:val="BodyText"/>
      </w:pPr>
      <w:r>
        <w:rPr>
          <w:b/>
          <w:bCs/>
        </w:rPr>
        <w:t xml:space="preserve">3. Large-pharma decision speed.</w:t>
      </w:r>
      <w:r>
        <w:t xml:space="preserve"> </w:t>
      </w:r>
      <w:r>
        <w:t xml:space="preserve">Management's recurring caveat is that large pharma remains "more deliberate" on capital deployment and hasn't returned to pre-2022 decision speed, even as the environment is "more constructive." Listen for whether that pace is accelerating — and for follow-through on the anecdote that a large-pharma client plans to</w:t>
      </w:r>
      <w:r>
        <w:t xml:space="preserve"> </w:t>
      </w:r>
      <w:r>
        <w:rPr>
          <w:i/>
          <w:iCs/>
        </w:rPr>
        <w:t xml:space="preserve">double</w:t>
      </w:r>
      <w:r>
        <w:t xml:space="preserve"> </w:t>
      </w:r>
      <w:r>
        <w:t xml:space="preserve">its pipeline of molecules using AI-driven target discovery, which Bousbib argues is a tailwind (not a threat) to CRO demand.</w:t>
      </w:r>
    </w:p>
    <w:p>
      <w:pPr>
        <w:pStyle w:val="BodyText"/>
      </w:pPr>
      <w:r>
        <w:rPr>
          <w:b/>
          <w:bCs/>
        </w:rPr>
        <w:t xml:space="preserve">4. The AI narrative — offense, not defense.</w:t>
      </w:r>
      <w:r>
        <w:t xml:space="preserve"> </w:t>
      </w:r>
      <w:r>
        <w:t xml:space="preserve">IQVIA has aggressively reframed AI as demand-accretive rather than disruptive. At Q1 it had</w:t>
      </w:r>
      <w:r>
        <w:t xml:space="preserve"> </w:t>
      </w:r>
      <w:r>
        <w:rPr>
          <w:b/>
          <w:bCs/>
        </w:rPr>
        <w:t xml:space="preserve">192 AI agents deployed across 64 use cases</w:t>
      </w:r>
      <w:r>
        <w:t xml:space="preserve">, with 19 of the top 20 pharma companies already using them, and launched the IQVIA.ai agentic portal at NVIDIA GTC. Bousbib flatly stated they've lost "exactly 0" trials to AI competitors. Given persistent investor fear that AI erodes the analytics/consulting business, expect this to dominate the call again — and note that analytics &amp; consulting posted its best growth in three years last quarter.</w:t>
      </w:r>
    </w:p>
    <w:p>
      <w:pPr>
        <w:pStyle w:val="BodyText"/>
      </w:pPr>
      <w:r>
        <w:rPr>
          <w:b/>
          <w:bCs/>
        </w:rPr>
        <w:t xml:space="preserve">5. Commercial Solutions momentum.</w:t>
      </w:r>
      <w:r>
        <w:t xml:space="preserve"> </w:t>
      </w:r>
      <w:r>
        <w:t xml:space="preserve">The under-appreciated segment surprised to the upside in Q1 (11.6% reported / 8.5% cc / ~5% organic), driven by patient solutions (double-digit growth), analytics &amp; consulting, and commercial engagement services (the former CSMS). New-drug launches are the bread-and-butter driver — 10 launches in Q1 vs. 6–7 a year earlier. Sustained organic acceleration here would support the case that the recovery is broad-based.</w:t>
      </w:r>
    </w:p>
    <w:p>
      <w:pPr>
        <w:pStyle w:val="BodyText"/>
      </w:pPr>
      <w:r>
        <w:rPr>
          <w:b/>
          <w:bCs/>
        </w:rPr>
        <w:t xml:space="preserve">6. New segment structure.</w:t>
      </w:r>
      <w:r>
        <w:t xml:space="preserve"> </w:t>
      </w:r>
      <w:r>
        <w:t xml:space="preserve">As of Jan 1, 2026, IQVIA collapsed to</w:t>
      </w:r>
      <w:r>
        <w:t xml:space="preserve"> </w:t>
      </w:r>
      <w:r>
        <w:rPr>
          <w:b/>
          <w:bCs/>
        </w:rPr>
        <w:t xml:space="preserve">two segments — Commercial Solutions and R&amp;D Solutions</w:t>
      </w:r>
      <w:r>
        <w:t xml:space="preserve"> </w:t>
      </w:r>
      <w:r>
        <w:t xml:space="preserve">(real-world late-phase moved into R&amp;DS). Prior periods are recast, so pay attention to like-for-like comparisons; older TAS/R&amp;DS/CSMS models no longer apply.</w:t>
      </w:r>
    </w:p>
    <w:p>
      <w:pPr>
        <w:pStyle w:val="BodyText"/>
      </w:pPr>
      <w:r>
        <w:rPr>
          <w:b/>
          <w:bCs/>
        </w:rPr>
        <w:t xml:space="preserve">7. Guidance action.</w:t>
      </w:r>
      <w:r>
        <w:t xml:space="preserve"> </w:t>
      </w:r>
      <w:r>
        <w:t xml:space="preserve">IQV</w:t>
      </w:r>
      <w:r>
        <w:t xml:space="preserve"> </w:t>
      </w:r>
      <w:r>
        <w:rPr>
          <w:i/>
          <w:iCs/>
        </w:rPr>
        <w:t xml:space="preserve">reaffirmed</w:t>
      </w:r>
      <w:r>
        <w:t xml:space="preserve"> </w:t>
      </w:r>
      <w:r>
        <w:t xml:space="preserve">revenue/EBITDA and</w:t>
      </w:r>
      <w:r>
        <w:t xml:space="preserve"> </w:t>
      </w:r>
      <w:r>
        <w:rPr>
          <w:i/>
          <w:iCs/>
        </w:rPr>
        <w:t xml:space="preserve">raised</w:t>
      </w:r>
      <w:r>
        <w:t xml:space="preserve"> </w:t>
      </w:r>
      <w:r>
        <w:t xml:space="preserve">EPS at Q1. With the stock priced for good news, the reaction may hinge less on the Q2 beat than on whether management raises full-year revenue/EBITDA (not just EPS). FX was a ~100bp tailwind and acquisitions ~150bp for the full year; watch whether the FX assumption (set as of May 4) shifts the guide. Note that EBITDA margins compressed ~60bp in Q1 on FX/pass-through headwinds even as operational (ex-mix) margins expanded — management expects reported margins to "flip positive" as the year progresses.</w:t>
      </w:r>
    </w:p>
    <w:bookmarkEnd w:id="12"/>
    <w:bookmarkStart w:id="13" w:name="capital-allocation--balance-sheet"/>
    <w:p>
      <w:pPr>
        <w:pStyle w:val="Heading2"/>
      </w:pPr>
      <w:r>
        <w:t xml:space="preserve">Capital Allocation &amp; Balance Sheet</w:t>
      </w:r>
    </w:p>
    <w:p>
      <w:pPr>
        <w:pStyle w:val="Compact"/>
        <w:numPr>
          <w:ilvl w:val="0"/>
          <w:numId w:val="1002"/>
        </w:numPr>
      </w:pPr>
      <w:r>
        <w:rPr>
          <w:b/>
          <w:bCs/>
        </w:rPr>
        <w:t xml:space="preserve">Buybacks:</w:t>
      </w:r>
      <w:r>
        <w:t xml:space="preserve"> </w:t>
      </w:r>
      <w:r>
        <w:t xml:space="preserve">IQVIA repurchased</w:t>
      </w:r>
      <w:r>
        <w:t xml:space="preserve"> </w:t>
      </w:r>
      <w:r>
        <w:rPr>
          <w:b/>
          <w:bCs/>
        </w:rPr>
        <w:t xml:space="preserve">$552M</w:t>
      </w:r>
      <w:r>
        <w:t xml:space="preserve"> </w:t>
      </w:r>
      <w:r>
        <w:t xml:space="preserve">of stock in Q1 (vs.</w:t>
      </w:r>
      <w:r>
        <w:t xml:space="preserve"> </w:t>
      </w:r>
      <m:oMath>
        <m:r>
          <m:t>375</m:t>
        </m:r>
        <m:r>
          <m:t>M</m:t>
        </m:r>
        <m:r>
          <m:t>a</m:t>
        </m:r>
        <m:r>
          <m:t>y</m:t>
        </m:r>
        <m:r>
          <m:t>e</m:t>
        </m:r>
        <m:r>
          <m:t>a</m:t>
        </m:r>
        <m:r>
          <m:t>r</m:t>
        </m:r>
        <m:r>
          <m:t>e</m:t>
        </m:r>
        <m:r>
          <m:t>a</m:t>
        </m:r>
        <m:r>
          <m:t>r</m:t>
        </m:r>
        <m:r>
          <m:t>l</m:t>
        </m:r>
        <m:r>
          <m:t>i</m:t>
        </m:r>
        <m:r>
          <m:t>e</m:t>
        </m:r>
        <m:r>
          <m:t>r</m:t>
        </m:r>
        <m:r>
          <m:rPr>
            <m:sty m:val="p"/>
          </m:rPr>
          <m:t>)</m:t>
        </m:r>
        <m:r>
          <m:rPr>
            <m:sty m:val="p"/>
          </m:rPr>
          <m:t>,</m:t>
        </m:r>
        <m:r>
          <m:t>w</m:t>
        </m:r>
        <m:r>
          <m:t>i</m:t>
        </m:r>
        <m:r>
          <m:t>t</m:t>
        </m:r>
        <m:r>
          <m:t>h</m:t>
        </m:r>
        <m:r>
          <m:t> </m:t>
        </m:r>
      </m:oMath>
      <w:r>
        <w:t xml:space="preserve">1.2B authorization remaining. Continued aggressive repurchase at current prices would signal management confidence; the share count is steadily shrinking (diluted shares ~170M vs. ~177M a year ago).</w:t>
      </w:r>
    </w:p>
    <w:p>
      <w:pPr>
        <w:pStyle w:val="Compact"/>
        <w:numPr>
          <w:ilvl w:val="0"/>
          <w:numId w:val="1002"/>
        </w:numPr>
      </w:pPr>
      <w:r>
        <w:rPr>
          <w:b/>
          <w:bCs/>
        </w:rPr>
        <w:t xml:space="preserve">Free cash flow:</w:t>
      </w:r>
      <w:r>
        <w:t xml:space="preserve"> </w:t>
      </w:r>
      <w:r>
        <w:t xml:space="preserve">Q1 FCF of $491M (+15% y/y) equaled 100% of adjusted net income — a metric bulls will want to see hold.</w:t>
      </w:r>
    </w:p>
    <w:p>
      <w:pPr>
        <w:pStyle w:val="Compact"/>
        <w:numPr>
          <w:ilvl w:val="0"/>
          <w:numId w:val="1002"/>
        </w:numPr>
      </w:pPr>
      <w:r>
        <w:rPr>
          <w:b/>
          <w:bCs/>
        </w:rPr>
        <w:t xml:space="preserve">Leverage:</w:t>
      </w:r>
      <w:r>
        <w:t xml:space="preserve"> </w:t>
      </w:r>
      <w:r>
        <w:t xml:space="preserve">Net debt of</w:t>
      </w:r>
      <w:r>
        <w:t xml:space="preserve"> </w:t>
      </w:r>
      <m:oMath>
        <m:r>
          <m:t>13.9</m:t>
        </m:r>
        <m:r>
          <m:t>B</m:t>
        </m:r>
        <m:r>
          <m:t>a</m:t>
        </m:r>
        <m:r>
          <m:t>n</m:t>
        </m:r>
        <m:r>
          <m:t>d</m:t>
        </m:r>
        <m:r>
          <m:rPr>
            <m:sty m:val="p"/>
          </m:rPr>
          <m:t>*</m:t>
        </m:r>
        <m:r>
          <m:rPr>
            <m:sty m:val="p"/>
          </m:rPr>
          <m:t>*</m:t>
        </m:r>
        <m:r>
          <m:t>n</m:t>
        </m:r>
        <m:r>
          <m:t>e</m:t>
        </m:r>
        <m:r>
          <m:t>t</m:t>
        </m:r>
        <m:r>
          <m:t>l</m:t>
        </m:r>
        <m:r>
          <m:t>e</m:t>
        </m:r>
        <m:r>
          <m:t>v</m:t>
        </m:r>
        <m:r>
          <m:t>e</m:t>
        </m:r>
        <m:r>
          <m:t>r</m:t>
        </m:r>
        <m:r>
          <m:t>a</m:t>
        </m:r>
        <m:r>
          <m:t>g</m:t>
        </m:r>
        <m:r>
          <m:t>e</m:t>
        </m:r>
        <m:r>
          <m:t>o</m:t>
        </m:r>
        <m:r>
          <m:t>f</m:t>
        </m:r>
        <m:r>
          <m:t>3.62</m:t>
        </m:r>
        <m:r>
          <m:t>x</m:t>
        </m:r>
        <m:r>
          <m:rPr>
            <m:sty m:val="p"/>
          </m:rPr>
          <m:t>*</m:t>
        </m:r>
        <m:r>
          <m:rPr>
            <m:sty m:val="p"/>
          </m:rPr>
          <m:t>*</m:t>
        </m:r>
        <m:r>
          <m:rPr>
            <m:sty m:val="p"/>
          </m:rPr>
          <m:t>—</m:t>
        </m:r>
        <m:r>
          <m:t>m</m:t>
        </m:r>
        <m:r>
          <m:t>a</m:t>
        </m:r>
        <m:r>
          <m:t>n</m:t>
        </m:r>
        <m:r>
          <m:t>a</m:t>
        </m:r>
        <m:r>
          <m:t>g</m:t>
        </m:r>
        <m:r>
          <m:t>e</m:t>
        </m:r>
        <m:r>
          <m:t>a</m:t>
        </m:r>
        <m:r>
          <m:t>b</m:t>
        </m:r>
        <m:r>
          <m:t>l</m:t>
        </m:r>
        <m:r>
          <m:t>e</m:t>
        </m:r>
        <m:r>
          <m:rPr>
            <m:sty m:val="p"/>
          </m:rPr>
          <m:t>,</m:t>
        </m:r>
        <m:r>
          <m:t>b</m:t>
        </m:r>
        <m:r>
          <m:t>u</m:t>
        </m:r>
        <m:r>
          <m:t>t</m:t>
        </m:r>
        <m:r>
          <m:t>r</m:t>
        </m:r>
        <m:r>
          <m:t>i</m:t>
        </m:r>
        <m:r>
          <m:t>s</m:t>
        </m:r>
        <m:r>
          <m:t>i</m:t>
        </m:r>
        <m:r>
          <m:t>n</m:t>
        </m:r>
        <m:r>
          <m:t>g</m:t>
        </m:r>
        <m:r>
          <m:t>i</m:t>
        </m:r>
        <m:r>
          <m:t>n</m:t>
        </m:r>
        <m:r>
          <m:t>t</m:t>
        </m:r>
        <m:r>
          <m:t>e</m:t>
        </m:r>
        <m:r>
          <m:t>r</m:t>
        </m:r>
        <m:r>
          <m:t>e</m:t>
        </m:r>
        <m:r>
          <m:t>s</m:t>
        </m:r>
        <m:r>
          <m:t>t</m:t>
        </m:r>
        <m:r>
          <m:t>e</m:t>
        </m:r>
        <m:r>
          <m:t>x</m:t>
        </m:r>
        <m:r>
          <m:t>p</m:t>
        </m:r>
        <m:r>
          <m:t>e</m:t>
        </m:r>
        <m:r>
          <m:t>n</m:t>
        </m:r>
        <m:r>
          <m:t>s</m:t>
        </m:r>
        <m:r>
          <m:t>e</m:t>
        </m:r>
        <m:r>
          <m:rPr>
            <m:sty m:val="p"/>
          </m:rPr>
          <m:t>(</m:t>
        </m:r>
      </m:oMath>
      <w:r>
        <w:t xml:space="preserve">192M in Q1 vs. $165M) is a watch item and a risk cited by some cautious analysts.</w:t>
      </w:r>
    </w:p>
    <w:bookmarkEnd w:id="13"/>
    <w:bookmarkStart w:id="14" w:name="bottom-line"/>
    <w:p>
      <w:pPr>
        <w:pStyle w:val="Heading2"/>
      </w:pPr>
      <w:r>
        <w:t xml:space="preserve">Bottom Line</w:t>
      </w:r>
    </w:p>
    <w:p>
      <w:pPr>
        <w:pStyle w:val="FirstParagraph"/>
      </w:pPr>
      <w:r>
        <w:t xml:space="preserve">IQVIA enters Q2 with a record backlog, doubling EVP funding, an AI story that has flipped from perceived threat to sales driver, and a clean beat-and-raise last quarter. Consensus (~</w:t>
      </w:r>
      <m:oMath>
        <m:r>
          <m:t>4.3</m:t>
        </m:r>
        <m:r>
          <m:t>B</m:t>
        </m:r>
        <m:r>
          <m:t>r</m:t>
        </m:r>
        <m:r>
          <m:t>e</m:t>
        </m:r>
        <m:r>
          <m:t>v</m:t>
        </m:r>
        <m:r>
          <m:t>e</m:t>
        </m:r>
        <m:r>
          <m:t>n</m:t>
        </m:r>
        <m:r>
          <m:t>u</m:t>
        </m:r>
        <m:r>
          <m:t>e</m:t>
        </m:r>
        <m:r>
          <m:rPr>
            <m:sty m:val="p"/>
          </m:rPr>
          <m:t>,</m:t>
        </m:r>
        <m:r>
          <m:t>E</m:t>
        </m:r>
        <m:r>
          <m:t>P</m:t>
        </m:r>
        <m:r>
          <m:t>S</m:t>
        </m:r>
        <m:r>
          <m:t>t</m:t>
        </m:r>
        <m:r>
          <m:t>o</m:t>
        </m:r>
        <m:r>
          <m:t>w</m:t>
        </m:r>
        <m:r>
          <m:t>a</m:t>
        </m:r>
        <m:r>
          <m:t>r</m:t>
        </m:r>
        <m:r>
          <m:t>d</m:t>
        </m:r>
        <m:r>
          <m:t>t</m:t>
        </m:r>
        <m:r>
          <m:t>h</m:t>
        </m:r>
        <m:r>
          <m:t>e</m:t>
        </m:r>
        <m:r>
          <m:t> </m:t>
        </m:r>
      </m:oMath>
      <w:r>
        <w:t xml:space="preserve">3.03 midpoint) looks achievable given the company's beat history. The real debate is durability and large-pharma decision-making speed — and, with the stock up ~28% off its June lows and near the high end of the analyst target range, the bar for a positive reaction is elevated. Focus on: (1) whether service-fee bookings/book-to-bill normalize higher, (2) any lift to full-year revenue/EBITDA guidance (not just EPS), and (3) confirmation that Commercial's organic re-acceleration is sustained.</w:t>
      </w:r>
    </w:p>
    <w:p>
      <w:pPr>
        <w:pStyle w:val="BodyText"/>
      </w:pPr>
      <w:r>
        <w:rPr>
          <w:i/>
          <w:iCs/>
        </w:rPr>
        <w:t xml:space="preserve">Preview based on IQVIA's Q1 2026 results and guidance (reported May 5, 2026), publicly available analyst consensus, and market data through July 27, 2026. Not investment advice.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2026-07-28T00:39:46Z</dcterms:created>
  <dcterms:modified xsi:type="dcterms:W3CDTF">2026-07-28T00:39:46Z</dcterms:modified>
</cp:coreProperties>
</file>

<file path=docProps/custom.xml><?xml version="1.0" encoding="utf-8"?>
<Properties xmlns="http://schemas.openxmlformats.org/officeDocument/2006/custom-properties" xmlns:vt="http://schemas.openxmlformats.org/officeDocument/2006/docPropsVTypes"/>
</file>