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qv-earnings-predictions--2026-07-28"/>
    <w:p>
      <w:pPr>
        <w:pStyle w:val="Heading1"/>
      </w:pPr>
      <w:r>
        <w:t xml:space="preserve">IQV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~$4.35B vs. cons $4.30B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~$981M vs. cons $966M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~$17.35B vs. cons $17.30B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~$4.03B vs. cons $4.00B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~$13.00 vs. cons $12.85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IQV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+5.3% (FOLLOW-THROUGH)</w:t>
            </w:r>
          </w:p>
        </w:tc>
        <w:tc>
          <w:tcPr/>
          <w:p>
            <w:pPr>
              <w:pStyle w:val="Compact"/>
            </w:pPr>
            <w:r>
              <w:t xml:space="preserve">FY revenue guide of ~</w:t>
            </w:r>
            <m:oMath>
              <m:r>
                <m:t>17.35</m:t>
              </m:r>
              <m:r>
                <m:t>B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H</m:t>
              </m:r>
              <m:r>
                <m:t>1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8.50B implies H2 revenue of ~</w:t>
            </w:r>
            <m:oMath>
              <m:r>
                <m:t>8.85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8.79B; the absence of an implicit out-period cut should support positive estimate revisions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2026-07-28T00:40:34Z</dcterms:created>
  <dcterms:modified xsi:type="dcterms:W3CDTF">2026-07-28T00:40:34Z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