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iqvia-iqv-2026-q2-earnings-preview"/>
    <w:p>
      <w:pPr>
        <w:pStyle w:val="Heading1"/>
      </w:pPr>
      <w:r>
        <w:t xml:space="preserve">IQVIA (IQV) 2026 Q2 Earnings Preview</w:t>
      </w:r>
    </w:p>
    <w:p>
      <w:pPr>
        <w:pStyle w:val="BlockText"/>
      </w:pPr>
      <w:r>
        <w:rPr>
          <w:b/>
          <w:bCs/>
        </w:rPr>
        <w:t xml:space="preserve">Timing clarification:</w:t>
      </w:r>
      <w:r>
        <w:t xml:space="preserve"> </w:t>
      </w:r>
      <w:r>
        <w:t xml:space="preserve">IQVIA is scheduled to report</w:t>
      </w:r>
      <w:r>
        <w:t xml:space="preserve"> </w:t>
      </w:r>
      <w:r>
        <w:rPr>
          <w:b/>
          <w:bCs/>
        </w:rPr>
        <w:t xml:space="preserve">today, Tuesday, July 28, 2026</w:t>
      </w:r>
      <w:r>
        <w:t xml:space="preserve">, before the market opens, followed by its earnings call at</w:t>
      </w:r>
      <w:r>
        <w:t xml:space="preserve"> </w:t>
      </w:r>
      <w:r>
        <w:rPr>
          <w:b/>
          <w:bCs/>
        </w:rPr>
        <w:t xml:space="preserve">9:00 a.m. ET</w:t>
      </w:r>
      <w:r>
        <w:t xml:space="preserve">. The date supplied—July 28—is not tomorrow.</w:t>
      </w:r>
    </w:p>
    <w:bookmarkStart w:id="9" w:name="investment-setup"/>
    <w:p>
      <w:pPr>
        <w:pStyle w:val="Heading2"/>
      </w:pPr>
      <w:r>
        <w:t xml:space="preserve">Investment setup</w:t>
      </w:r>
    </w:p>
    <w:p>
      <w:pPr>
        <w:pStyle w:val="FirstParagraph"/>
      </w:pPr>
      <w:r>
        <w:t xml:space="preserve">IQVIA enters the report with improving operating momentum but a substantially higher investor bar than it faced three months ago. First-quarter results showed accelerating organic growth in both major segments, strengthening clinical-demand indicators, and early commercial traction from the company’s healthcare-specific AI offerings.</w:t>
      </w:r>
    </w:p>
    <w:p>
      <w:pPr>
        <w:pStyle w:val="BodyText"/>
      </w:pPr>
      <w:r>
        <w:t xml:space="preserve">The stock closed July 27 at</w:t>
      </w:r>
      <w:r>
        <w:t xml:space="preserve"> </w:t>
      </w:r>
      <w:r>
        <w:rPr>
          <w:b/>
          <w:bCs/>
        </w:rPr>
        <w:t xml:space="preserve">$213.26</w:t>
      </w:r>
      <w:r>
        <w:t xml:space="preserve">, approximately</w:t>
      </w:r>
      <w:r>
        <w:t xml:space="preserve"> </w:t>
      </w:r>
      <w:r>
        <w:rPr>
          <w:b/>
          <w:bCs/>
        </w:rPr>
        <w:t xml:space="preserve">21% above</w:t>
      </w:r>
      <w:r>
        <w:t xml:space="preserve"> </w:t>
      </w:r>
      <w:r>
        <w:t xml:space="preserve">its May 5 closing price following the Q1 report, though still down about</w:t>
      </w:r>
      <w:r>
        <w:t xml:space="preserve"> </w:t>
      </w:r>
      <w:r>
        <w:rPr>
          <w:b/>
          <w:bCs/>
        </w:rPr>
        <w:t xml:space="preserve">5% year to date</w:t>
      </w:r>
      <w:r>
        <w:t xml:space="preserve">. At roughly</w:t>
      </w:r>
      <w:r>
        <w:t xml:space="preserve"> </w:t>
      </w:r>
      <w:r>
        <w:rPr>
          <w:b/>
          <w:bCs/>
        </w:rPr>
        <w:t xml:space="preserve">16.7 times</w:t>
      </w:r>
      <w:r>
        <w:t xml:space="preserve"> </w:t>
      </w:r>
      <w:r>
        <w:t xml:space="preserve">the midpoint of 2026 adjusted EPS guidance, the valuation is not demanding in isolation, but the recent recovery means another merely acceptable quarter may not be enough.</w:t>
      </w:r>
    </w:p>
    <w:p>
      <w:pPr>
        <w:pStyle w:val="BodyText"/>
      </w:pPr>
      <w:r>
        <w:t xml:space="preserve">The most important issue is unlikely to be whether adjusted EPS beats by a few cents. Investors need evidence that: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Clinical bookings and backlog conversion continue to improve.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Commercial Solutions can sustain approximately 5% organic growth.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Revenue growth is beginning to produce better margin leverage.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Full-year guidance remains achievable—and preferably moves higher.</w:t>
      </w:r>
    </w:p>
    <w:p>
      <w:r>
        <w:pict>
          <v:rect style="width:0;height:1.5pt" o:hralign="center" o:hrstd="t" o:hr="t"/>
        </w:pict>
      </w:r>
    </w:p>
    <w:bookmarkEnd w:id="9"/>
    <w:bookmarkStart w:id="12" w:name="the-reported-numbers-to-beat"/>
    <w:p>
      <w:pPr>
        <w:pStyle w:val="Heading2"/>
      </w:pPr>
      <w:r>
        <w:t xml:space="preserve">The reported numbers to beat</w:t>
      </w:r>
    </w:p>
    <w:bookmarkStart w:id="10" w:name="company-issued-q2-guidance"/>
    <w:p>
      <w:pPr>
        <w:pStyle w:val="Heading3"/>
      </w:pPr>
      <w:r>
        <w:t xml:space="preserve">Company-issued Q2 guidance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2026 guidance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Midpoint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2025 actual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Midpoint growth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4.280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t xml:space="preserve">4.340B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$4.310B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$4.017B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7.3%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955</m:t>
              </m:r>
              <m:r>
                <m:t>M</m:t>
              </m:r>
              <m:r>
                <m:rPr>
                  <m:sty m:val="p"/>
                </m:rPr>
                <m:t>–</m:t>
              </m:r>
            </m:oMath>
            <w:r>
              <w:t xml:space="preserve">975M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$965M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$910M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6.0%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2.98</m:t>
              </m:r>
              <m:r>
                <m:rPr>
                  <m:sty m:val="p"/>
                </m:rPr>
                <m:t>–</m:t>
              </m:r>
            </m:oMath>
            <w:r>
              <w:t xml:space="preserve">3.08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$3.03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$2.81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7.8%</w:t>
            </w:r>
          </w:p>
        </w:tc>
      </w:tr>
    </w:tbl>
    <w:p>
      <w:pPr>
        <w:pStyle w:val="BodyText"/>
      </w:pPr>
      <w:r>
        <w:t xml:space="preserve">The implied adjusted EBITDA margin at the midpoint is approximately</w:t>
      </w:r>
      <w:r>
        <w:t xml:space="preserve"> </w:t>
      </w:r>
      <w:r>
        <w:rPr>
          <w:b/>
          <w:bCs/>
        </w:rPr>
        <w:t xml:space="preserve">22.4%</w:t>
      </w:r>
      <w:r>
        <w:t xml:space="preserve">, almost unchanged from Q1’s 22.5%. Management previously said productivity should allow reported margin trends to improve as the year progresses.</w:t>
      </w:r>
    </w:p>
    <w:bookmarkEnd w:id="10"/>
    <w:bookmarkStart w:id="11" w:name="full-year-guidance-entering-the-report"/>
    <w:p>
      <w:pPr>
        <w:pStyle w:val="Heading3"/>
      </w:pPr>
      <w:r>
        <w:t xml:space="preserve">Full-year guidance entering the report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FY2026 guidance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Midpoint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Implied growth at midpoint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17.150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t xml:space="preserve">17.350B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$17.250B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5.8%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3.975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t xml:space="preserve">4.025B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$4.000B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5.6%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12.65</m:t>
              </m:r>
              <m:r>
                <m:rPr>
                  <m:sty m:val="p"/>
                </m:rPr>
                <m:t>–</m:t>
              </m:r>
            </m:oMath>
            <w:r>
              <w:t xml:space="preserve">12.95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$12.80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7.4%</w:t>
            </w:r>
          </w:p>
        </w:tc>
      </w:tr>
    </w:tbl>
    <w:p>
      <w:pPr>
        <w:pStyle w:val="BodyText"/>
      </w:pPr>
      <w:r>
        <w:t xml:space="preserve">IQVIA raised EPS guidance by $0.10 after Q1 but left revenue and EBITDA guidance unchanged. A second consecutive beat without any improvement in revenue or EBITDA guidance could raise questions about conservatism versus limited incremental operating upside.</w:t>
      </w:r>
    </w:p>
    <w:p>
      <w:r>
        <w:pict>
          <v:rect style="width:0;height:1.5pt" o:hralign="center" o:hrstd="t" o:hr="t"/>
        </w:pict>
      </w:r>
    </w:p>
    <w:bookmarkEnd w:id="11"/>
    <w:bookmarkEnd w:id="12"/>
    <w:bookmarkStart w:id="15" w:name="Xc6278a9f0a258bc777783f97ac04a85ebb84581"/>
    <w:p>
      <w:pPr>
        <w:pStyle w:val="Heading2"/>
      </w:pPr>
      <w:r>
        <w:t xml:space="preserve">1. Clinical bookings are the central debate</w:t>
      </w:r>
    </w:p>
    <w:p>
      <w:pPr>
        <w:pStyle w:val="FirstParagraph"/>
      </w:pPr>
      <w:r>
        <w:t xml:space="preserve">IQVIA’s Research &amp; Development Solutions segment reported:</w:t>
      </w:r>
    </w:p>
    <w:p>
      <w:pPr>
        <w:pStyle w:val="Compact"/>
        <w:numPr>
          <w:ilvl w:val="0"/>
          <w:numId w:val="1002"/>
        </w:numPr>
      </w:pPr>
      <w:r>
        <w:t xml:space="preserve">Q1 revenue of</w:t>
      </w:r>
      <w:r>
        <w:t xml:space="preserve"> </w:t>
      </w:r>
      <w:r>
        <w:rPr>
          <w:b/>
          <w:bCs/>
        </w:rPr>
        <w:t xml:space="preserve">$2.397 billion</w:t>
      </w:r>
      <w:r>
        <w:t xml:space="preserve">, up 6.2% reported and approximately 3% organically.</w:t>
      </w:r>
    </w:p>
    <w:p>
      <w:pPr>
        <w:pStyle w:val="Compact"/>
        <w:numPr>
          <w:ilvl w:val="0"/>
          <w:numId w:val="1002"/>
        </w:numPr>
      </w:pPr>
      <w:r>
        <w:t xml:space="preserve">Net new bookings of</w:t>
      </w:r>
      <w:r>
        <w:t xml:space="preserve"> </w:t>
      </w:r>
      <w:r>
        <w:rPr>
          <w:b/>
          <w:bCs/>
        </w:rPr>
        <w:t xml:space="preserve">$2.5 billion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Contracted backlog of</w:t>
      </w:r>
      <w:r>
        <w:t xml:space="preserve"> </w:t>
      </w:r>
      <w:r>
        <w:rPr>
          <w:b/>
          <w:bCs/>
        </w:rPr>
        <w:t xml:space="preserve">$34.2 billion</w:t>
      </w:r>
      <w:r>
        <w:t xml:space="preserve">, a record.</w:t>
      </w:r>
    </w:p>
    <w:p>
      <w:pPr>
        <w:pStyle w:val="Compact"/>
        <w:numPr>
          <w:ilvl w:val="0"/>
          <w:numId w:val="1002"/>
        </w:numPr>
      </w:pPr>
      <w:r>
        <w:t xml:space="preserve">Approximately</w:t>
      </w:r>
      <w:r>
        <w:t xml:space="preserve"> </w:t>
      </w:r>
      <w:r>
        <w:rPr>
          <w:b/>
          <w:bCs/>
        </w:rPr>
        <w:t xml:space="preserve">$8.9 billion</w:t>
      </w:r>
      <w:r>
        <w:t xml:space="preserve"> </w:t>
      </w:r>
      <w:r>
        <w:t xml:space="preserve">of backlog expected to convert to revenue over the following 12 months, up 7.6% year over year.</w:t>
      </w:r>
    </w:p>
    <w:p>
      <w:pPr>
        <w:pStyle w:val="Compact"/>
        <w:numPr>
          <w:ilvl w:val="0"/>
          <w:numId w:val="1002"/>
        </w:numPr>
      </w:pPr>
      <w:r>
        <w:t xml:space="preserve">A quarterly book-to-bill ratio of</w:t>
      </w:r>
      <w:r>
        <w:t xml:space="preserve"> </w:t>
      </w:r>
      <w:r>
        <w:rPr>
          <w:b/>
          <w:bCs/>
        </w:rPr>
        <w:t xml:space="preserve">1.04x</w:t>
      </w:r>
      <w:r>
        <w:t xml:space="preserve"> </w:t>
      </w:r>
      <w:r>
        <w:t xml:space="preserve">and trailing-12-month ratio of</w:t>
      </w:r>
      <w:r>
        <w:t xml:space="preserve"> </w:t>
      </w:r>
      <w:r>
        <w:rPr>
          <w:b/>
          <w:bCs/>
        </w:rPr>
        <w:t xml:space="preserve">1.11x</w:t>
      </w:r>
      <w:r>
        <w:t xml:space="preserve">.</w:t>
      </w:r>
    </w:p>
    <w:p>
      <w:pPr>
        <w:pStyle w:val="FirstParagraph"/>
      </w:pPr>
      <w:r>
        <w:t xml:space="preserve">The headline Q1 book-to-bill figure understated underlying demand because reimbursable pass-through bookings were unusually low. Management said service-fee bookings grew strongly both year over year and sequentially, cancellations were normal, and a normal pass-through mix would have produced a book-to-bill closer to roughly</w:t>
      </w:r>
      <w:r>
        <w:t xml:space="preserve"> </w:t>
      </w:r>
      <w:r>
        <w:rPr>
          <w:b/>
          <w:bCs/>
        </w:rPr>
        <w:t xml:space="preserve">1.15x</w:t>
      </w:r>
      <w:r>
        <w:t xml:space="preserve">.</w:t>
      </w:r>
    </w:p>
    <w:bookmarkStart w:id="13" w:name="what-investors-should-look-for"/>
    <w:p>
      <w:pPr>
        <w:pStyle w:val="Heading3"/>
      </w:pPr>
      <w:r>
        <w:t xml:space="preserve">What investors should look for</w:t>
      </w:r>
    </w:p>
    <w:p>
      <w:pPr>
        <w:pStyle w:val="FirstParagraph"/>
      </w:pPr>
      <w:r>
        <w:rPr>
          <w:b/>
          <w:bCs/>
        </w:rPr>
        <w:t xml:space="preserve">More important than the reported book-to-bill ratio:</w:t>
      </w:r>
    </w:p>
    <w:p>
      <w:pPr>
        <w:pStyle w:val="Compact"/>
        <w:numPr>
          <w:ilvl w:val="0"/>
          <w:numId w:val="1003"/>
        </w:numPr>
      </w:pPr>
      <w:r>
        <w:t xml:space="preserve">Net service-fee booking growth.</w:t>
      </w:r>
    </w:p>
    <w:p>
      <w:pPr>
        <w:pStyle w:val="Compact"/>
        <w:numPr>
          <w:ilvl w:val="0"/>
          <w:numId w:val="1003"/>
        </w:numPr>
      </w:pPr>
      <w:r>
        <w:t xml:space="preserve">Full-service versus FSP mix.</w:t>
      </w:r>
    </w:p>
    <w:p>
      <w:pPr>
        <w:pStyle w:val="Compact"/>
        <w:numPr>
          <w:ilvl w:val="0"/>
          <w:numId w:val="1003"/>
        </w:numPr>
      </w:pPr>
      <w:r>
        <w:t xml:space="preserve">Cancellation levels.</w:t>
      </w:r>
    </w:p>
    <w:p>
      <w:pPr>
        <w:pStyle w:val="Compact"/>
        <w:numPr>
          <w:ilvl w:val="0"/>
          <w:numId w:val="1003"/>
        </w:numPr>
      </w:pPr>
      <w:r>
        <w:t xml:space="preserve">Qualified pipeline and RFP growth.</w:t>
      </w:r>
    </w:p>
    <w:p>
      <w:pPr>
        <w:pStyle w:val="Compact"/>
        <w:numPr>
          <w:ilvl w:val="0"/>
          <w:numId w:val="1003"/>
        </w:numPr>
      </w:pPr>
      <w:r>
        <w:t xml:space="preserve">The amount of backlog expected to convert over the next 12 months.</w:t>
      </w:r>
    </w:p>
    <w:p>
      <w:pPr>
        <w:pStyle w:val="Compact"/>
        <w:numPr>
          <w:ilvl w:val="0"/>
          <w:numId w:val="1003"/>
        </w:numPr>
      </w:pPr>
      <w:r>
        <w:t xml:space="preserve">Commentary on large-pharma decision times and biotech funding translating into awards.</w:t>
      </w:r>
    </w:p>
    <w:p>
      <w:pPr>
        <w:pStyle w:val="FirstParagraph"/>
      </w:pPr>
      <w:r>
        <w:t xml:space="preserve">A reported Q2 book-to-bill above approximately</w:t>
      </w:r>
      <w:r>
        <w:t xml:space="preserve"> </w:t>
      </w:r>
      <w:r>
        <w:rPr>
          <w:b/>
          <w:bCs/>
        </w:rPr>
        <w:t xml:space="preserve">1.1x</w:t>
      </w:r>
      <w:r>
        <w:t xml:space="preserve">, paired with continued high-single-digit growth in next-12-month backlog conversion, would support the view that clinical revenue growth can accelerate. A weak ratio may still be explainable by pass-through timing, but investors will be less forgiving if service-fee bookings or near-term backlog conversion also deteriorate.</w:t>
      </w:r>
    </w:p>
    <w:bookmarkEnd w:id="13"/>
    <w:bookmarkStart w:id="14" w:name="the-key-distinction"/>
    <w:p>
      <w:pPr>
        <w:pStyle w:val="Heading3"/>
      </w:pPr>
      <w:r>
        <w:t xml:space="preserve">The key distinction</w:t>
      </w:r>
    </w:p>
    <w:p>
      <w:pPr>
        <w:pStyle w:val="FirstParagraph"/>
      </w:pPr>
      <w:r>
        <w:t xml:space="preserve">Backlog size alone is not enough. Clinical contracts can take several years to convert, can be delayed, and are often terminable on short notice. The</w:t>
      </w:r>
      <w:r>
        <w:t xml:space="preserve"> </w:t>
      </w:r>
      <w:r>
        <w:rPr>
          <w:b/>
          <w:bCs/>
        </w:rPr>
        <w:t xml:space="preserve">$8.9 billion near-term conversion figure</w:t>
      </w:r>
      <w:r>
        <w:t xml:space="preserve"> </w:t>
      </w:r>
      <w:r>
        <w:t xml:space="preserve">is therefore a better indicator of the next several quarters than the total $34.2 billion backlog.</w:t>
      </w:r>
    </w:p>
    <w:p>
      <w:r>
        <w:pict>
          <v:rect style="width:0;height:1.5pt" o:hralign="center" o:hrstd="t" o:hr="t"/>
        </w:pict>
      </w:r>
    </w:p>
    <w:bookmarkEnd w:id="14"/>
    <w:bookmarkEnd w:id="15"/>
    <w:bookmarkStart w:id="17" w:name="X0956a7abae155c4e104c69fb8e4bbc16d0e5647"/>
    <w:p>
      <w:pPr>
        <w:pStyle w:val="Heading2"/>
      </w:pPr>
      <w:r>
        <w:t xml:space="preserve">2. Commercial Solutions must confirm that Q1 was not a one-off</w:t>
      </w:r>
    </w:p>
    <w:p>
      <w:pPr>
        <w:pStyle w:val="FirstParagraph"/>
      </w:pPr>
      <w:r>
        <w:t xml:space="preserve">Commercial Solutions was the standout business in Q1:</w:t>
      </w:r>
    </w:p>
    <w:p>
      <w:pPr>
        <w:pStyle w:val="Compact"/>
        <w:numPr>
          <w:ilvl w:val="0"/>
          <w:numId w:val="1004"/>
        </w:numPr>
      </w:pPr>
      <w:r>
        <w:t xml:space="preserve">Revenue increased</w:t>
      </w:r>
      <w:r>
        <w:t xml:space="preserve"> </w:t>
      </w:r>
      <w:r>
        <w:rPr>
          <w:b/>
          <w:bCs/>
        </w:rPr>
        <w:t xml:space="preserve">11.6% reported</w:t>
      </w:r>
      <w:r>
        <w:t xml:space="preserve">, 8.5% at constant currency, and approximately</w:t>
      </w:r>
      <w:r>
        <w:t xml:space="preserve"> </w:t>
      </w:r>
      <w:r>
        <w:rPr>
          <w:b/>
          <w:bCs/>
        </w:rPr>
        <w:t xml:space="preserve">5% organically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Organic growth doubled from roughly 2%–2.5% a year earlier.</w:t>
      </w:r>
    </w:p>
    <w:p>
      <w:pPr>
        <w:pStyle w:val="Compact"/>
        <w:numPr>
          <w:ilvl w:val="0"/>
          <w:numId w:val="1004"/>
        </w:numPr>
      </w:pPr>
      <w:r>
        <w:t xml:space="preserve">Patient solutions grew at a double-digit rate.</w:t>
      </w:r>
    </w:p>
    <w:p>
      <w:pPr>
        <w:pStyle w:val="Compact"/>
        <w:numPr>
          <w:ilvl w:val="0"/>
          <w:numId w:val="1004"/>
        </w:numPr>
      </w:pPr>
      <w:r>
        <w:t xml:space="preserve">Analytics and consulting posted its strongest growth in three years.</w:t>
      </w:r>
    </w:p>
    <w:p>
      <w:pPr>
        <w:pStyle w:val="Compact"/>
        <w:numPr>
          <w:ilvl w:val="0"/>
          <w:numId w:val="1004"/>
        </w:numPr>
      </w:pPr>
      <w:r>
        <w:t xml:space="preserve">Commercial pipelines reached record levels.</w:t>
      </w:r>
    </w:p>
    <w:p>
      <w:pPr>
        <w:pStyle w:val="FirstParagraph"/>
      </w:pPr>
      <w:r>
        <w:t xml:space="preserve">The recast Q2 2025 revenue comparison is</w:t>
      </w:r>
      <w:r>
        <w:t xml:space="preserve"> </w:t>
      </w:r>
      <w:r>
        <w:rPr>
          <w:b/>
          <w:bCs/>
        </w:rPr>
        <w:t xml:space="preserve">$1.651 billion</w:t>
      </w:r>
      <w:r>
        <w:t xml:space="preserve">. Investors should focus on organic growth rather than reported growth because currency and acquisitions contributed materially in Q1.</w:t>
      </w:r>
    </w:p>
    <w:bookmarkStart w:id="16" w:name="what-would-constitute-a-good-quarter"/>
    <w:p>
      <w:pPr>
        <w:pStyle w:val="Heading3"/>
      </w:pPr>
      <w:r>
        <w:t xml:space="preserve">What would constitute a good quarter?</w:t>
      </w:r>
    </w:p>
    <w:p>
      <w:pPr>
        <w:pStyle w:val="FirstParagraph"/>
      </w:pPr>
      <w:r>
        <w:t xml:space="preserve">A result near</w:t>
      </w:r>
      <w:r>
        <w:t xml:space="preserve"> </w:t>
      </w:r>
      <w:r>
        <w:rPr>
          <w:b/>
          <w:bCs/>
        </w:rPr>
        <w:t xml:space="preserve">5% organic growth</w:t>
      </w:r>
      <w:r>
        <w:t xml:space="preserve"> </w:t>
      </w:r>
      <w:r>
        <w:t xml:space="preserve">would validate management’s argument that commercial spending is recovering after several years of client caution. Particular attention should be paid to:</w:t>
      </w:r>
    </w:p>
    <w:p>
      <w:pPr>
        <w:pStyle w:val="Compact"/>
        <w:numPr>
          <w:ilvl w:val="0"/>
          <w:numId w:val="1005"/>
        </w:numPr>
      </w:pPr>
      <w:r>
        <w:t xml:space="preserve">Analytics and consulting demand.</w:t>
      </w:r>
    </w:p>
    <w:p>
      <w:pPr>
        <w:pStyle w:val="Compact"/>
        <w:numPr>
          <w:ilvl w:val="0"/>
          <w:numId w:val="1005"/>
        </w:numPr>
      </w:pPr>
      <w:r>
        <w:t xml:space="preserve">Patient solutions.</w:t>
      </w:r>
    </w:p>
    <w:p>
      <w:pPr>
        <w:pStyle w:val="Compact"/>
        <w:numPr>
          <w:ilvl w:val="0"/>
          <w:numId w:val="1005"/>
        </w:numPr>
      </w:pPr>
      <w:r>
        <w:t xml:space="preserve">Commercial engagement services.</w:t>
      </w:r>
    </w:p>
    <w:p>
      <w:pPr>
        <w:pStyle w:val="Compact"/>
        <w:numPr>
          <w:ilvl w:val="0"/>
          <w:numId w:val="1005"/>
        </w:numPr>
      </w:pPr>
      <w:r>
        <w:t xml:space="preserve">New drug-launch activity.</w:t>
      </w:r>
    </w:p>
    <w:p>
      <w:pPr>
        <w:pStyle w:val="Compact"/>
        <w:numPr>
          <w:ilvl w:val="0"/>
          <w:numId w:val="1005"/>
        </w:numPr>
      </w:pPr>
      <w:r>
        <w:t xml:space="preserve">Large AI-related data and analytics contracts.</w:t>
      </w:r>
    </w:p>
    <w:p>
      <w:pPr>
        <w:pStyle w:val="Compact"/>
        <w:numPr>
          <w:ilvl w:val="0"/>
          <w:numId w:val="1005"/>
        </w:numPr>
      </w:pPr>
      <w:r>
        <w:t xml:space="preserve">Whether client sales cycles are shortening.</w:t>
      </w:r>
    </w:p>
    <w:p>
      <w:pPr>
        <w:pStyle w:val="FirstParagraph"/>
      </w:pPr>
      <w:r>
        <w:t xml:space="preserve">Commercial Solutions is strategically important because it is more diversified than the clinical business and provides the clearest near-term avenue for IQVIA to monetize its proprietary healthcare data.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18" w:name="X7187d5d5fcd1dbdfcb7e6b6e1f12c35e4c6ffae"/>
    <w:p>
      <w:pPr>
        <w:pStyle w:val="Heading2"/>
      </w:pPr>
      <w:r>
        <w:t xml:space="preserve">3. AI needs to progress from adoption metrics to financial contribution</w:t>
      </w:r>
    </w:p>
    <w:p>
      <w:pPr>
        <w:pStyle w:val="FirstParagraph"/>
      </w:pPr>
      <w:r>
        <w:t xml:space="preserve">Management disclosed in Q1 that IQVIA had: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192 AI agents</w:t>
      </w:r>
      <w:r>
        <w:t xml:space="preserve"> </w:t>
      </w:r>
      <w:r>
        <w:t xml:space="preserve">deployed.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64 use cases</w:t>
      </w:r>
      <w:r>
        <w:t xml:space="preserve"> </w:t>
      </w:r>
      <w:r>
        <w:t xml:space="preserve">across Commercial Solutions and R&amp;DS.</w:t>
      </w:r>
    </w:p>
    <w:p>
      <w:pPr>
        <w:pStyle w:val="Compact"/>
        <w:numPr>
          <w:ilvl w:val="0"/>
          <w:numId w:val="1006"/>
        </w:numPr>
      </w:pPr>
      <w:r>
        <w:t xml:space="preserve">Adoption by</w:t>
      </w:r>
      <w:r>
        <w:t xml:space="preserve"> </w:t>
      </w:r>
      <w:r>
        <w:rPr>
          <w:b/>
          <w:bCs/>
        </w:rPr>
        <w:t xml:space="preserve">19 of the top 20 pharmaceutical companies</w:t>
      </w:r>
      <w:r>
        <w:t xml:space="preserve"> </w:t>
      </w:r>
      <w:r>
        <w:t xml:space="preserve">in at least some workflows.</w:t>
      </w:r>
    </w:p>
    <w:p>
      <w:pPr>
        <w:pStyle w:val="FirstParagraph"/>
      </w:pPr>
      <w:r>
        <w:t xml:space="preserve">The company argues that AI is a net demand creator rather than a threat. In Commercial Solutions, it can create new analytics and data-foundation offerings. In R&amp;DS, agents can reduce study start-up time, automate documentation, improve site selection, and limit errors and rework.</w:t>
      </w:r>
    </w:p>
    <w:p>
      <w:pPr>
        <w:pStyle w:val="BodyText"/>
      </w:pPr>
      <w:r>
        <w:t xml:space="preserve">The adoption figures are impressive, but investors now need more economically useful disclosure:</w:t>
      </w:r>
    </w:p>
    <w:p>
      <w:pPr>
        <w:pStyle w:val="Compact"/>
        <w:numPr>
          <w:ilvl w:val="0"/>
          <w:numId w:val="1007"/>
        </w:numPr>
      </w:pPr>
      <w:r>
        <w:t xml:space="preserve">How much pipeline is directly associated with AI offerings?</w:t>
      </w:r>
    </w:p>
    <w:p>
      <w:pPr>
        <w:pStyle w:val="Compact"/>
        <w:numPr>
          <w:ilvl w:val="0"/>
          <w:numId w:val="1007"/>
        </w:numPr>
      </w:pPr>
      <w:r>
        <w:t xml:space="preserve">Are AI-enabled contracts incremental or replacing traditional work?</w:t>
      </w:r>
    </w:p>
    <w:p>
      <w:pPr>
        <w:pStyle w:val="Compact"/>
        <w:numPr>
          <w:ilvl w:val="0"/>
          <w:numId w:val="1007"/>
        </w:numPr>
      </w:pPr>
      <w:r>
        <w:t xml:space="preserve">Is pricing higher, or is AI primarily a productivity tool?</w:t>
      </w:r>
    </w:p>
    <w:p>
      <w:pPr>
        <w:pStyle w:val="Compact"/>
        <w:numPr>
          <w:ilvl w:val="0"/>
          <w:numId w:val="1007"/>
        </w:numPr>
      </w:pPr>
      <w:r>
        <w:t xml:space="preserve">When should productivity benefits become visible in margins?</w:t>
      </w:r>
    </w:p>
    <w:p>
      <w:pPr>
        <w:pStyle w:val="Compact"/>
        <w:numPr>
          <w:ilvl w:val="0"/>
          <w:numId w:val="1007"/>
        </w:numPr>
      </w:pPr>
      <w:r>
        <w:t xml:space="preserve">Are clients expanding from pilot deployments into enterprise-wide contracts?</w:t>
      </w:r>
    </w:p>
    <w:p>
      <w:pPr>
        <w:pStyle w:val="FirstParagraph"/>
      </w:pPr>
      <w:r>
        <w:t xml:space="preserve">The best outcome would be evidence that AI is simultaneously producing</w:t>
      </w:r>
      <w:r>
        <w:t xml:space="preserve"> </w:t>
      </w:r>
      <w:r>
        <w:rPr>
          <w:b/>
          <w:bCs/>
        </w:rPr>
        <w:t xml:space="preserve">incremental commercial revenue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clinical delivery efficiencies</w:t>
      </w:r>
      <w:r>
        <w:t xml:space="preserve">. More agent-count updates without corresponding revenue, bookings, or margin evidence would be less meaningful.</w:t>
      </w:r>
    </w:p>
    <w:p>
      <w:r>
        <w:pict>
          <v:rect style="width:0;height:1.5pt" o:hralign="center" o:hrstd="t" o:hr="t"/>
        </w:pict>
      </w:r>
    </w:p>
    <w:bookmarkEnd w:id="18"/>
    <w:bookmarkStart w:id="19" w:name="X78bcbdf7b517c29a31527fb86e0cfbeb27ba3d0"/>
    <w:p>
      <w:pPr>
        <w:pStyle w:val="Heading2"/>
      </w:pPr>
      <w:r>
        <w:t xml:space="preserve">4. Margin conversion is the most important financial question</w:t>
      </w:r>
    </w:p>
    <w:p>
      <w:pPr>
        <w:pStyle w:val="FirstParagraph"/>
      </w:pPr>
      <w:r>
        <w:t xml:space="preserve">Q1 revenue grew 8.4%, while adjusted EBITDA grew only 5.5%. Both reported segments also experienced year-over-year margin pressure:</w:t>
      </w:r>
    </w:p>
    <w:p>
      <w:pPr>
        <w:pStyle w:val="Compact"/>
        <w:numPr>
          <w:ilvl w:val="0"/>
          <w:numId w:val="1008"/>
        </w:numPr>
      </w:pPr>
      <w:r>
        <w:t xml:space="preserve">Commercial Solutions segment profit rose 7.3%, slower than its 11.6% revenue growth.</w:t>
      </w:r>
    </w:p>
    <w:p>
      <w:pPr>
        <w:pStyle w:val="Compact"/>
        <w:numPr>
          <w:ilvl w:val="0"/>
          <w:numId w:val="1008"/>
        </w:numPr>
      </w:pPr>
      <w:r>
        <w:t xml:space="preserve">R&amp;DS segment profit declined slightly despite 6.2% revenue growth.</w:t>
      </w:r>
    </w:p>
    <w:p>
      <w:pPr>
        <w:pStyle w:val="Compact"/>
        <w:numPr>
          <w:ilvl w:val="0"/>
          <w:numId w:val="1008"/>
        </w:numPr>
      </w:pPr>
      <w:r>
        <w:t xml:space="preserve">Compensation, delivery costs, acquisitions, currency, and revenue mix affected reported profitability.</w:t>
      </w:r>
    </w:p>
    <w:p>
      <w:pPr>
        <w:pStyle w:val="FirstParagraph"/>
      </w:pPr>
      <w:r>
        <w:t xml:space="preserve">Management maintained that underlying operational margins improved and that productivity more than offset adverse business mix, with currency and pass-through effects obscuring the improvement.</w:t>
      </w:r>
    </w:p>
    <w:p>
      <w:pPr>
        <w:pStyle w:val="BodyText"/>
      </w:pPr>
      <w:r>
        <w:t xml:space="preserve">Q2 should help validate that claim. Investors should look for:</w:t>
      </w:r>
    </w:p>
    <w:p>
      <w:pPr>
        <w:pStyle w:val="Compact"/>
        <w:numPr>
          <w:ilvl w:val="0"/>
          <w:numId w:val="1009"/>
        </w:numPr>
      </w:pPr>
      <w:r>
        <w:t xml:space="preserve">Adjusted EBITDA at or above the</w:t>
      </w:r>
      <w:r>
        <w:t xml:space="preserve"> </w:t>
      </w:r>
      <w:r>
        <w:rPr>
          <w:b/>
          <w:bCs/>
        </w:rPr>
        <w:t xml:space="preserve">$975 million</w:t>
      </w:r>
      <w:r>
        <w:t xml:space="preserve"> </w:t>
      </w:r>
      <w:r>
        <w:t xml:space="preserve">high end.</w:t>
      </w:r>
    </w:p>
    <w:p>
      <w:pPr>
        <w:pStyle w:val="Compact"/>
        <w:numPr>
          <w:ilvl w:val="0"/>
          <w:numId w:val="1009"/>
        </w:numPr>
      </w:pPr>
      <w:r>
        <w:t xml:space="preserve">Evidence that productivity savings are moving from management commentary into reported results.</w:t>
      </w:r>
    </w:p>
    <w:p>
      <w:pPr>
        <w:pStyle w:val="Compact"/>
        <w:numPr>
          <w:ilvl w:val="0"/>
          <w:numId w:val="1009"/>
        </w:numPr>
      </w:pPr>
      <w:r>
        <w:t xml:space="preserve">Better R&amp;DS segment profit conversion.</w:t>
      </w:r>
    </w:p>
    <w:p>
      <w:pPr>
        <w:pStyle w:val="Compact"/>
        <w:numPr>
          <w:ilvl w:val="0"/>
          <w:numId w:val="1009"/>
        </w:numPr>
      </w:pPr>
      <w:r>
        <w:t xml:space="preserve">A credible path toward positive reported margin expansion in the second half.</w:t>
      </w:r>
    </w:p>
    <w:p>
      <w:pPr>
        <w:pStyle w:val="Compact"/>
        <w:numPr>
          <w:ilvl w:val="0"/>
          <w:numId w:val="1009"/>
        </w:numPr>
      </w:pPr>
      <w:r>
        <w:t xml:space="preserve">No increase in restructuring requirements beyond the actions already expected through 2026 and into 2027.</w:t>
      </w:r>
    </w:p>
    <w:p>
      <w:pPr>
        <w:pStyle w:val="FirstParagraph"/>
      </w:pPr>
      <w:r>
        <w:t xml:space="preserve">A revenue beat driven primarily by acquisitions, currency, or zero-margin pass-through revenue would be lower quality than a smaller beat accompanied by organic growth and margin expansion.</w:t>
      </w:r>
    </w:p>
    <w:p>
      <w:r>
        <w:pict>
          <v:rect style="width:0;height:1.5pt" o:hralign="center" o:hrstd="t" o:hr="t"/>
        </w:pict>
      </w:r>
    </w:p>
    <w:bookmarkEnd w:id="19"/>
    <w:bookmarkStart w:id="21" w:name="X340c4673e773d981bae8d3b3c7ad460f405c408"/>
    <w:p>
      <w:pPr>
        <w:pStyle w:val="Heading2"/>
      </w:pPr>
      <w:r>
        <w:t xml:space="preserve">5. Full-year guidance: a raise may be needed for a clearly bullish reaction</w:t>
      </w:r>
    </w:p>
    <w:p>
      <w:pPr>
        <w:pStyle w:val="FirstParagraph"/>
      </w:pPr>
      <w:r>
        <w:t xml:space="preserve">At the midpoint, full-year guidance requires approximately: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$8.79 billion</w:t>
      </w:r>
      <w:r>
        <w:t xml:space="preserve"> </w:t>
      </w:r>
      <w:r>
        <w:t xml:space="preserve">of second-half revenue after Q1 actual results and the Q2 guidance midpoint.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$2.10 billion</w:t>
      </w:r>
      <w:r>
        <w:t xml:space="preserve"> </w:t>
      </w:r>
      <w:r>
        <w:t xml:space="preserve">of second-half adjusted EBITDA.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$6.87</w:t>
      </w:r>
      <w:r>
        <w:t xml:space="preserve"> </w:t>
      </w:r>
      <w:r>
        <w:t xml:space="preserve">of second-half adjusted EPS.</w:t>
      </w:r>
    </w:p>
    <w:p>
      <w:pPr>
        <w:pStyle w:val="FirstParagraph"/>
      </w:pPr>
      <w:r>
        <w:t xml:space="preserve">That translates to second-half growth of roughly 4% for revenue, 5% for adjusted EBITDA, and 7% for adjusted EPS versus the comparable 2025 period. Those requirements appear achievable if commercial momentum persists and clinical backlog converts as expected.</w:t>
      </w:r>
    </w:p>
    <w:bookmarkStart w:id="20" w:name="guidance-interpretation"/>
    <w:p>
      <w:pPr>
        <w:pStyle w:val="Heading3"/>
      </w:pPr>
      <w:r>
        <w:t xml:space="preserve">Guidance interpretation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Best outcome:</w:t>
      </w:r>
      <w:r>
        <w:t xml:space="preserve"> </w:t>
      </w:r>
      <w:r>
        <w:t xml:space="preserve">Revenue and EBITDA guidance rise, with another EPS increase.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Acceptable outcome:</w:t>
      </w:r>
      <w:r>
        <w:t xml:space="preserve"> </w:t>
      </w:r>
      <w:r>
        <w:t xml:space="preserve">Strong Q2 results, better bookings, and guidance maintained because of conservatism or currency.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Less convincing:</w:t>
      </w:r>
      <w:r>
        <w:t xml:space="preserve"> </w:t>
      </w:r>
      <w:r>
        <w:t xml:space="preserve">EPS guidance rises solely because of buybacks while revenue and EBITDA remain unchanged.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Negative:</w:t>
      </w:r>
      <w:r>
        <w:t xml:space="preserve"> </w:t>
      </w:r>
      <w:r>
        <w:t xml:space="preserve">Lowered revenue or EBITDA guidance, especially if attributed to clinical delays or weaker backlog conversion.</w:t>
      </w:r>
    </w:p>
    <w:p>
      <w:pPr>
        <w:pStyle w:val="FirstParagraph"/>
      </w:pPr>
      <w:r>
        <w:t xml:space="preserve">The quality of any guidance increase matters more than its size. A revenue/EBITDA raise would indicate stronger operations; an EPS-only raise may primarily reflect a lower share count, taxes, or financing assumptions.</w:t>
      </w:r>
    </w:p>
    <w:p>
      <w:r>
        <w:pict>
          <v:rect style="width:0;height:1.5pt" o:hralign="center" o:hrstd="t" o:hr="t"/>
        </w:pict>
      </w:r>
    </w:p>
    <w:bookmarkEnd w:id="20"/>
    <w:bookmarkEnd w:id="21"/>
    <w:bookmarkStart w:id="22" w:name="Xd0faa594ddcb156e3befeef933cf1afa6dfe685"/>
    <w:p>
      <w:pPr>
        <w:pStyle w:val="Heading2"/>
      </w:pPr>
      <w:r>
        <w:t xml:space="preserve">6. Cash flow, leverage, and capital allocation</w:t>
      </w:r>
    </w:p>
    <w:p>
      <w:pPr>
        <w:pStyle w:val="FirstParagraph"/>
      </w:pPr>
      <w:r>
        <w:t xml:space="preserve">IQVIA finished Q1 with:</w:t>
      </w:r>
    </w:p>
    <w:p>
      <w:pPr>
        <w:pStyle w:val="Compact"/>
        <w:numPr>
          <w:ilvl w:val="0"/>
          <w:numId w:val="1012"/>
        </w:numPr>
      </w:pPr>
      <w:r>
        <w:t xml:space="preserve">Cash of</w:t>
      </w:r>
      <w:r>
        <w:t xml:space="preserve"> </w:t>
      </w:r>
      <w:r>
        <w:rPr>
          <w:b/>
          <w:bCs/>
        </w:rPr>
        <w:t xml:space="preserve">$1.947 billion</w:t>
      </w:r>
      <w:r>
        <w:t xml:space="preserve">.</w:t>
      </w:r>
    </w:p>
    <w:p>
      <w:pPr>
        <w:pStyle w:val="Compact"/>
        <w:numPr>
          <w:ilvl w:val="0"/>
          <w:numId w:val="1012"/>
        </w:numPr>
      </w:pPr>
      <w:r>
        <w:t xml:space="preserve">Net debt of</w:t>
      </w:r>
      <w:r>
        <w:t xml:space="preserve"> </w:t>
      </w:r>
      <w:r>
        <w:rPr>
          <w:b/>
          <w:bCs/>
        </w:rPr>
        <w:t xml:space="preserve">$13.886 billion</w:t>
      </w:r>
      <w:r>
        <w:t xml:space="preserve">.</w:t>
      </w:r>
    </w:p>
    <w:p>
      <w:pPr>
        <w:pStyle w:val="Compact"/>
        <w:numPr>
          <w:ilvl w:val="0"/>
          <w:numId w:val="1012"/>
        </w:numPr>
      </w:pPr>
      <w:r>
        <w:t xml:space="preserve">Net leverage of</w:t>
      </w:r>
      <w:r>
        <w:t xml:space="preserve"> </w:t>
      </w:r>
      <w:r>
        <w:rPr>
          <w:b/>
          <w:bCs/>
        </w:rPr>
        <w:t xml:space="preserve">3.62x</w:t>
      </w:r>
      <w:r>
        <w:t xml:space="preserve"> </w:t>
      </w:r>
      <w:r>
        <w:t xml:space="preserve">trailing adjusted EBITDA.</w:t>
      </w:r>
    </w:p>
    <w:p>
      <w:pPr>
        <w:pStyle w:val="Compact"/>
        <w:numPr>
          <w:ilvl w:val="0"/>
          <w:numId w:val="1012"/>
        </w:numPr>
      </w:pPr>
      <w:r>
        <w:t xml:space="preserve">Q1 free cash flow of</w:t>
      </w:r>
      <w:r>
        <w:t xml:space="preserve"> </w:t>
      </w:r>
      <w:r>
        <w:rPr>
          <w:b/>
          <w:bCs/>
        </w:rPr>
        <w:t xml:space="preserve">$491 million</w:t>
      </w:r>
      <w:r>
        <w:t xml:space="preserve">, equal to 100% of adjusted net income.</w:t>
      </w:r>
    </w:p>
    <w:p>
      <w:pPr>
        <w:pStyle w:val="Compact"/>
        <w:numPr>
          <w:ilvl w:val="0"/>
          <w:numId w:val="1012"/>
        </w:numPr>
      </w:pPr>
      <w:r>
        <w:t xml:space="preserve">Q1 share repurchases of</w:t>
      </w:r>
      <w:r>
        <w:t xml:space="preserve"> </w:t>
      </w:r>
      <w:r>
        <w:rPr>
          <w:b/>
          <w:bCs/>
        </w:rPr>
        <w:t xml:space="preserve">$552 million</w:t>
      </w:r>
      <w:r>
        <w:t xml:space="preserve">.</w:t>
      </w:r>
    </w:p>
    <w:p>
      <w:pPr>
        <w:pStyle w:val="Compact"/>
        <w:numPr>
          <w:ilvl w:val="0"/>
          <w:numId w:val="1012"/>
        </w:numPr>
      </w:pPr>
      <w:r>
        <w:t xml:space="preserve">Remaining repurchase authorization of approximately</w:t>
      </w:r>
      <w:r>
        <w:t xml:space="preserve"> </w:t>
      </w:r>
      <w:r>
        <w:rPr>
          <w:b/>
          <w:bCs/>
        </w:rPr>
        <w:t xml:space="preserve">$1.2 billion</w:t>
      </w:r>
      <w:r>
        <w:t xml:space="preserve">.</w:t>
      </w:r>
    </w:p>
    <w:p>
      <w:pPr>
        <w:pStyle w:val="FirstParagraph"/>
      </w:pPr>
      <w:r>
        <w:t xml:space="preserve">In June, a subsidiary issued</w:t>
      </w:r>
      <w:r>
        <w:t xml:space="preserve"> </w:t>
      </w:r>
      <w:r>
        <w:rPr>
          <w:b/>
          <w:bCs/>
        </w:rPr>
        <w:t xml:space="preserve">€950 million of 4.625% senior notes due 2033</w:t>
      </w:r>
      <w:r>
        <w:t xml:space="preserve">, with proceeds intended to refinance existing debt.</w:t>
      </w:r>
    </w:p>
    <w:p>
      <w:pPr>
        <w:pStyle w:val="BodyText"/>
      </w:pPr>
      <w:r>
        <w:t xml:space="preserve">IQVIA’s free-cash-flow generation supports buybacks, but leverage remains significant and interest expense rose to $192 million in Q1 from $165 million a year earlier. Initial 2026 guidance already incorporated an approximately $80 million annual increase in interest expense related to financing and refinancing activity.</w:t>
      </w:r>
    </w:p>
    <w:p>
      <w:pPr>
        <w:pStyle w:val="BodyText"/>
      </w:pPr>
      <w:r>
        <w:t xml:space="preserve">Investors should watch:</w:t>
      </w:r>
    </w:p>
    <w:p>
      <w:pPr>
        <w:pStyle w:val="Compact"/>
        <w:numPr>
          <w:ilvl w:val="0"/>
          <w:numId w:val="1013"/>
        </w:numPr>
      </w:pPr>
      <w:r>
        <w:t xml:space="preserve">Net leverage direction.</w:t>
      </w:r>
    </w:p>
    <w:p>
      <w:pPr>
        <w:pStyle w:val="Compact"/>
        <w:numPr>
          <w:ilvl w:val="0"/>
          <w:numId w:val="1013"/>
        </w:numPr>
      </w:pPr>
      <w:r>
        <w:t xml:space="preserve">Q2 free-cash-flow conversion.</w:t>
      </w:r>
    </w:p>
    <w:p>
      <w:pPr>
        <w:pStyle w:val="Compact"/>
        <w:numPr>
          <w:ilvl w:val="0"/>
          <w:numId w:val="1013"/>
        </w:numPr>
      </w:pPr>
      <w:r>
        <w:t xml:space="preserve">The pace and average price of repurchases.</w:t>
      </w:r>
    </w:p>
    <w:p>
      <w:pPr>
        <w:pStyle w:val="Compact"/>
        <w:numPr>
          <w:ilvl w:val="0"/>
          <w:numId w:val="1013"/>
        </w:numPr>
      </w:pPr>
      <w:r>
        <w:t xml:space="preserve">Updated interest-expense assumptions.</w:t>
      </w:r>
    </w:p>
    <w:p>
      <w:pPr>
        <w:pStyle w:val="Compact"/>
        <w:numPr>
          <w:ilvl w:val="0"/>
          <w:numId w:val="1013"/>
        </w:numPr>
      </w:pPr>
      <w:r>
        <w:t xml:space="preserve">Whether management prioritizes buybacks over meaningful deleveraging.</w:t>
      </w:r>
    </w:p>
    <w:p>
      <w:pPr>
        <w:pStyle w:val="FirstParagraph"/>
      </w:pPr>
      <w:r>
        <w:t xml:space="preserve">Repurchases have contributed materially to EPS growth: Q1’s diluted share count fell about 4% year over year. That is beneficial, but investors should distinguish share-count-driven EPS growth from operating profit growth.</w:t>
      </w:r>
    </w:p>
    <w:p>
      <w:r>
        <w:pict>
          <v:rect style="width:0;height:1.5pt" o:hralign="center" o:hrstd="t" o:hr="t"/>
        </w:pict>
      </w:r>
    </w:p>
    <w:bookmarkEnd w:id="22"/>
    <w:bookmarkStart w:id="23" w:name="potential-reaction-framework"/>
    <w:p>
      <w:pPr>
        <w:pStyle w:val="Heading2"/>
      </w:pPr>
      <w:r>
        <w:t xml:space="preserve">Potential reaction framework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Scenario</w:t>
            </w:r>
          </w:p>
        </w:tc>
        <w:tc>
          <w:tcPr/>
          <w:p>
            <w:pPr>
              <w:pStyle w:val="Compact"/>
            </w:pPr>
            <w:r>
              <w:t xml:space="preserve">What it could look like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Bull case</w:t>
            </w:r>
          </w:p>
        </w:tc>
        <w:tc>
          <w:tcPr/>
          <w:p>
            <w:pPr>
              <w:pStyle w:val="Compact"/>
            </w:pPr>
            <w:r>
              <w:t xml:space="preserve">Revenue and EPS exceed the high ends of guidance; service-fee bookings remain strong; book-to-bill exceeds roughly 1.1x; near-term backlog conversion grows high single digits; Commercial organic growth stays near 5%; revenue and EBITDA guidance increase.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 case</w:t>
            </w:r>
          </w:p>
        </w:tc>
        <w:tc>
          <w:tcPr/>
          <w:p>
            <w:pPr>
              <w:pStyle w:val="Compact"/>
            </w:pPr>
            <w:r>
              <w:t xml:space="preserve">Results land around or modestly above guidance; bookings normalize after Q1’s pass-through distortion; Commercial remains healthy; full-year revenue and EBITDA guidance are maintained, with perhaps another small EPS increase.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Bear case</w:t>
            </w:r>
          </w:p>
        </w:tc>
        <w:tc>
          <w:tcPr/>
          <w:p>
            <w:pPr>
              <w:pStyle w:val="Compact"/>
            </w:pPr>
            <w:r>
              <w:t xml:space="preserve">R&amp;DS organic growth slows, service bookings weaken, or cancellations rise; next-12-month backlog conversion decelerates; Commercial Q1 strength proves temporary; margins remain under pressure; management lowers or narrows guidance unfavorably.</w:t>
            </w:r>
          </w:p>
        </w:tc>
      </w:tr>
    </w:tbl>
    <w:bookmarkEnd w:id="23"/>
    <w:bookmarkStart w:id="24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The setup is</w:t>
      </w:r>
      <w:r>
        <w:t xml:space="preserve"> </w:t>
      </w:r>
      <w:r>
        <w:rPr>
          <w:b/>
          <w:bCs/>
        </w:rPr>
        <w:t xml:space="preserve">constructive but no longer low-expectation</w:t>
      </w:r>
      <w:r>
        <w:t xml:space="preserve">. IQVIA’s Q1 report presented a credible recovery narrative: accelerating organic growth, improving clinical-demand indicators, record commercial pipelines, strong cash flow, and broad AI adoption. The stock’s subsequent rally indicates that investors have begun to price in that improvement.</w:t>
      </w:r>
    </w:p>
    <w:p>
      <w:pPr>
        <w:pStyle w:val="BodyText"/>
      </w:pPr>
      <w:r>
        <w:t xml:space="preserve">For this report, the highest-value indicators are: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R&amp;DS service-fee bookings and next-12-month backlog conversion.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Commercial Solutions organic growth.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Adjusted EBITDA margin and second-half margin commentary.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Any increase to full-year revenue and EBITDA guidance.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Evidence that AI adoption is translating into revenue or productivity.</w:t>
      </w:r>
    </w:p>
    <w:p>
      <w:pPr>
        <w:pStyle w:val="FirstParagraph"/>
      </w:pPr>
      <w:r>
        <w:t xml:space="preserve">A small EPS beat driven by repurchases would not, by itself, settle the investment debate. A strong report would show that IQVIA’s underlying demand recovery is broadening and that faster revenue growth can finally translate into stronger operating leverage.</w:t>
      </w:r>
    </w:p>
    <w:p>
      <w:pPr>
        <w:pStyle w:val="BodyText"/>
      </w:pPr>
      <w:r>
        <w:rPr>
          <w:i/>
          <w:iCs/>
        </w:rPr>
        <w:t xml:space="preserve">This preview is based on information available before the Q2 2026 release and is not investment advice.</w:t>
      </w:r>
    </w:p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2026-07-28T00:40:34Z</dcterms:created>
  <dcterms:modified xsi:type="dcterms:W3CDTF">2026-07-28T00:40:34Z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