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iqvia-nyse-iqv--2q26-earnings-preview"/>
    <w:p>
      <w:pPr>
        <w:pStyle w:val="Heading1"/>
      </w:pPr>
      <w:r>
        <w:t xml:space="preserve">IQVIA (NYSE: IQV) — 2Q26 Earnings Preview</w:t>
      </w:r>
    </w:p>
    <w:p>
      <w:pPr>
        <w:pStyle w:val="BlockText"/>
      </w:pPr>
      <w:r>
        <w:rPr>
          <w:b/>
          <w:bCs/>
        </w:rPr>
        <w:t xml:space="preserve">Timing note:</w:t>
      </w:r>
      <w:r>
        <w:t xml:space="preserve"> </w:t>
      </w:r>
      <w:r>
        <w:t xml:space="preserve">IQVIA is scheduled to report</w:t>
      </w:r>
      <w:r>
        <w:t xml:space="preserve"> </w:t>
      </w:r>
      <w:r>
        <w:rPr>
          <w:b/>
          <w:bCs/>
        </w:rPr>
        <w:t xml:space="preserve">before the market opens on Tuesday, July 28, 2026</w:t>
      </w:r>
      <w:r>
        <w:t xml:space="preserve">, with its conference call at</w:t>
      </w:r>
      <w:r>
        <w:t xml:space="preserve"> </w:t>
      </w:r>
      <w:r>
        <w:rPr>
          <w:b/>
          <w:bCs/>
        </w:rPr>
        <w:t xml:space="preserve">9:00 a.m. ET</w:t>
      </w:r>
      <w:r>
        <w:t xml:space="preserve">. That is</w:t>
      </w:r>
      <w:r>
        <w:t xml:space="preserve"> </w:t>
      </w:r>
      <w:r>
        <w:rPr>
          <w:b/>
          <w:bCs/>
        </w:rPr>
        <w:t xml:space="preserve">today</w:t>
      </w:r>
      <w:r>
        <w:t xml:space="preserve">, not tomorrow.</w:t>
      </w:r>
    </w:p>
    <w:bookmarkStart w:id="9" w:name="Xbba5db00dcced4d2517234d04d20252bf23f98c"/>
    <w:p>
      <w:pPr>
        <w:pStyle w:val="Heading2"/>
      </w:pPr>
      <w:r>
        <w:t xml:space="preserve">Investment view: the bar is a clean execution print—and evidence that the demand recovery is broadening</w:t>
      </w:r>
    </w:p>
    <w:p>
      <w:pPr>
        <w:pStyle w:val="FirstParagraph"/>
      </w:pPr>
      <w:r>
        <w:t xml:space="preserve">IQVIA enters 2Q26 after a notably strong first quarter: revenue and adjusted EPS exceeded the high end of guidance, Commercial Solutions accelerated, R&amp;D Solutions (R&amp;DS) bookings improved, and management reaffirmed full-year revenue and EBITDA guidance while raising EPS guidance.</w:t>
      </w:r>
    </w:p>
    <w:p>
      <w:pPr>
        <w:pStyle w:val="BodyText"/>
      </w:pPr>
      <w:r>
        <w:t xml:space="preserve">The core question for this report is no longer simply whether IQVIA can meet near-term financial targets. Investors will focus on whether Q1’s improvement represents a durable reacceleration in both businesses—particularly R&amp;DS—or was aided by timing, currency, acquisitions, and unusually favorable revenue conversion.</w:t>
      </w:r>
    </w:p>
    <w:p>
      <w:pPr>
        <w:pStyle w:val="BodyText"/>
      </w:pPr>
      <w:r>
        <w:t xml:space="preserve">The stock has already recovered materially into the print, closing at</w:t>
      </w:r>
      <w:r>
        <w:t xml:space="preserve"> </w:t>
      </w:r>
      <w:r>
        <w:rPr>
          <w:b/>
          <w:bCs/>
        </w:rPr>
        <w:t xml:space="preserve">$213.26 on July 27</w:t>
      </w:r>
      <w:r>
        <w:t xml:space="preserve">, up roughly</w:t>
      </w:r>
      <w:r>
        <w:t xml:space="preserve"> </w:t>
      </w:r>
      <w:r>
        <w:rPr>
          <w:b/>
          <w:bCs/>
        </w:rPr>
        <w:t xml:space="preserve">33% from the May 4 close</w:t>
      </w:r>
      <w:r>
        <w:t xml:space="preserve"> </w:t>
      </w:r>
      <w:r>
        <w:t xml:space="preserve">ahead of 1Q earnings, though still about</w:t>
      </w:r>
      <w:r>
        <w:t xml:space="preserve"> </w:t>
      </w:r>
      <w:r>
        <w:rPr>
          <w:b/>
          <w:bCs/>
        </w:rPr>
        <w:t xml:space="preserve">5% below its January 2 close</w:t>
      </w:r>
      <w:r>
        <w:t xml:space="preserve">. That setup likely raises the importance of forward indicators and guidance quality relative to a modest quarterly beat.</w:t>
      </w:r>
    </w:p>
    <w:bookmarkEnd w:id="9"/>
    <w:bookmarkStart w:id="10" w:name="X111d0c8db9858cf0041ae8ff5a10578e33fd546"/>
    <w:p>
      <w:pPr>
        <w:pStyle w:val="Heading2"/>
      </w:pPr>
      <w:r>
        <w:t xml:space="preserve">The numerical hurdle: management’s 2Q guide</w:t>
      </w:r>
    </w:p>
    <w:p>
      <w:pPr>
        <w:pStyle w:val="FirstParagraph"/>
      </w:pPr>
      <w:r>
        <w:t xml:space="preserve">IQVIA’s own 2Q26 outlook provides the cleanest benchmark:</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jc w:val="right"/>
            </w:pPr>
            <w:r>
              <w:t xml:space="preserve">2Q26 guidance</w:t>
            </w:r>
          </w:p>
        </w:tc>
        <w:tc>
          <w:tcPr/>
          <w:p>
            <w:pPr>
              <w:pStyle w:val="Compact"/>
              <w:jc w:val="right"/>
            </w:pPr>
            <w:r>
              <w:t xml:space="preserve">Midpoint</w:t>
            </w:r>
          </w:p>
        </w:tc>
        <w:tc>
          <w:tcPr/>
          <w:p>
            <w:pPr>
              <w:pStyle w:val="Compact"/>
              <w:jc w:val="right"/>
            </w:pPr>
            <w:r>
              <w:t xml:space="preserve">2Q25 actual</w:t>
            </w:r>
          </w:p>
        </w:tc>
        <w:tc>
          <w:tcPr/>
          <w:p>
            <w:pPr>
              <w:pStyle w:val="Compact"/>
              <w:jc w:val="right"/>
            </w:pPr>
            <w:r>
              <w:t xml:space="preserve">Midpoint YoY growth</w:t>
            </w:r>
          </w:p>
        </w:tc>
      </w:tr>
      <w:tr>
        <w:tc>
          <w:tcPr/>
          <w:p>
            <w:pPr>
              <w:pStyle w:val="Compact"/>
            </w:pPr>
            <w:r>
              <w:t xml:space="preserve">Revenue</w:t>
            </w:r>
          </w:p>
        </w:tc>
        <w:tc>
          <w:tcPr/>
          <w:p>
            <w:pPr>
              <w:pStyle w:val="Compact"/>
              <w:jc w:val="right"/>
            </w:pPr>
            <m:oMath>
              <m:r>
                <m:t>4.280</m:t>
              </m:r>
              <m:r>
                <m:t>B</m:t>
              </m:r>
              <m:r>
                <m:rPr>
                  <m:sty m:val="p"/>
                </m:rPr>
                <m:t>–</m:t>
              </m:r>
            </m:oMath>
            <w:r>
              <w:t xml:space="preserve">4.340B</w:t>
            </w:r>
          </w:p>
        </w:tc>
        <w:tc>
          <w:tcPr/>
          <w:p>
            <w:pPr>
              <w:pStyle w:val="Compact"/>
              <w:jc w:val="right"/>
            </w:pPr>
            <w:r>
              <w:rPr>
                <w:b/>
                <w:bCs/>
              </w:rPr>
              <w:t xml:space="preserve">$4.310B</w:t>
            </w:r>
          </w:p>
        </w:tc>
        <w:tc>
          <w:tcPr/>
          <w:p>
            <w:pPr>
              <w:pStyle w:val="Compact"/>
              <w:jc w:val="right"/>
            </w:pPr>
            <w:r>
              <w:t xml:space="preserve">$4.017B</w:t>
            </w:r>
          </w:p>
        </w:tc>
        <w:tc>
          <w:tcPr/>
          <w:p>
            <w:pPr>
              <w:pStyle w:val="Compact"/>
              <w:jc w:val="right"/>
            </w:pPr>
            <w:r>
              <w:rPr>
                <w:b/>
                <w:bCs/>
              </w:rPr>
              <w:t xml:space="preserve">7.3%</w:t>
            </w:r>
          </w:p>
        </w:tc>
      </w:tr>
      <w:tr>
        <w:tc>
          <w:tcPr/>
          <w:p>
            <w:pPr>
              <w:pStyle w:val="Compact"/>
            </w:pPr>
            <w:r>
              <w:t xml:space="preserve">Adjusted EBITDA</w:t>
            </w:r>
          </w:p>
        </w:tc>
        <w:tc>
          <w:tcPr/>
          <w:p>
            <w:pPr>
              <w:pStyle w:val="Compact"/>
              <w:jc w:val="right"/>
            </w:pPr>
            <m:oMath>
              <m:r>
                <m:t>955</m:t>
              </m:r>
              <m:r>
                <m:t>M</m:t>
              </m:r>
              <m:r>
                <m:rPr>
                  <m:sty m:val="p"/>
                </m:rPr>
                <m:t>–</m:t>
              </m:r>
            </m:oMath>
            <w:r>
              <w:t xml:space="preserve">975M</w:t>
            </w:r>
          </w:p>
        </w:tc>
        <w:tc>
          <w:tcPr/>
          <w:p>
            <w:pPr>
              <w:pStyle w:val="Compact"/>
              <w:jc w:val="right"/>
            </w:pPr>
            <w:r>
              <w:rPr>
                <w:b/>
                <w:bCs/>
              </w:rPr>
              <w:t xml:space="preserve">$965M</w:t>
            </w:r>
          </w:p>
        </w:tc>
        <w:tc>
          <w:tcPr/>
          <w:p>
            <w:pPr>
              <w:pStyle w:val="Compact"/>
              <w:jc w:val="right"/>
            </w:pPr>
            <w:r>
              <w:t xml:space="preserve">$910M</w:t>
            </w:r>
          </w:p>
        </w:tc>
        <w:tc>
          <w:tcPr/>
          <w:p>
            <w:pPr>
              <w:pStyle w:val="Compact"/>
              <w:jc w:val="right"/>
            </w:pPr>
            <w:r>
              <w:rPr>
                <w:b/>
                <w:bCs/>
              </w:rPr>
              <w:t xml:space="preserve">6.0%</w:t>
            </w:r>
          </w:p>
        </w:tc>
      </w:tr>
      <w:tr>
        <w:tc>
          <w:tcPr/>
          <w:p>
            <w:pPr>
              <w:pStyle w:val="Compact"/>
            </w:pPr>
            <w:r>
              <w:t xml:space="preserve">Adjusted diluted EPS</w:t>
            </w:r>
          </w:p>
        </w:tc>
        <w:tc>
          <w:tcPr/>
          <w:p>
            <w:pPr>
              <w:pStyle w:val="Compact"/>
              <w:jc w:val="right"/>
            </w:pPr>
            <m:oMath>
              <m:r>
                <m:t>2.98</m:t>
              </m:r>
              <m:r>
                <m:rPr>
                  <m:sty m:val="p"/>
                </m:rPr>
                <m:t>–</m:t>
              </m:r>
            </m:oMath>
            <w:r>
              <w:t xml:space="preserve">3.08</w:t>
            </w:r>
          </w:p>
        </w:tc>
        <w:tc>
          <w:tcPr/>
          <w:p>
            <w:pPr>
              <w:pStyle w:val="Compact"/>
              <w:jc w:val="right"/>
            </w:pPr>
            <w:r>
              <w:rPr>
                <w:b/>
                <w:bCs/>
              </w:rPr>
              <w:t xml:space="preserve">$3.03</w:t>
            </w:r>
          </w:p>
        </w:tc>
        <w:tc>
          <w:tcPr/>
          <w:p>
            <w:pPr>
              <w:pStyle w:val="Compact"/>
              <w:jc w:val="right"/>
            </w:pPr>
            <w:r>
              <w:t xml:space="preserve">$2.81</w:t>
            </w:r>
          </w:p>
        </w:tc>
        <w:tc>
          <w:tcPr/>
          <w:p>
            <w:pPr>
              <w:pStyle w:val="Compact"/>
              <w:jc w:val="right"/>
            </w:pPr>
            <w:r>
              <w:rPr>
                <w:b/>
                <w:bCs/>
              </w:rPr>
              <w:t xml:space="preserve">7.8%</w:t>
            </w:r>
          </w:p>
        </w:tc>
      </w:tr>
    </w:tbl>
    <w:p>
      <w:pPr>
        <w:pStyle w:val="BodyText"/>
      </w:pPr>
      <w:r>
        <w:t xml:space="preserve">A result near or above the high end would extend the favorable Q1 setup. More important, investors will want to see the company preserve its full-year revenue and EBITDA framework:</w:t>
      </w:r>
    </w:p>
    <w:p>
      <w:pPr>
        <w:pStyle w:val="Compact"/>
        <w:numPr>
          <w:ilvl w:val="0"/>
          <w:numId w:val="1001"/>
        </w:numPr>
      </w:pPr>
      <w:r>
        <w:rPr>
          <w:b/>
          <w:bCs/>
        </w:rPr>
        <w:t xml:space="preserve">Revenue:</w:t>
      </w:r>
      <w:r>
        <w:t xml:space="preserve"> </w:t>
      </w:r>
      <m:oMath>
        <m:r>
          <m:t>17.15</m:t>
        </m:r>
        <m:r>
          <m:t>B</m:t>
        </m:r>
        <m:r>
          <m:rPr>
            <m:sty m:val="p"/>
          </m:rPr>
          <m:t>–</m:t>
        </m:r>
      </m:oMath>
      <w:r>
        <w:t xml:space="preserve">17.35B</w:t>
      </w:r>
    </w:p>
    <w:p>
      <w:pPr>
        <w:pStyle w:val="Compact"/>
        <w:numPr>
          <w:ilvl w:val="0"/>
          <w:numId w:val="1001"/>
        </w:numPr>
      </w:pPr>
      <w:r>
        <w:rPr>
          <w:b/>
          <w:bCs/>
        </w:rPr>
        <w:t xml:space="preserve">Adjusted EBITDA:</w:t>
      </w:r>
      <w:r>
        <w:t xml:space="preserve"> </w:t>
      </w:r>
      <m:oMath>
        <m:r>
          <m:t>3.975</m:t>
        </m:r>
        <m:r>
          <m:t>B</m:t>
        </m:r>
        <m:r>
          <m:rPr>
            <m:sty m:val="p"/>
          </m:rPr>
          <m:t>–</m:t>
        </m:r>
      </m:oMath>
      <w:r>
        <w:t xml:space="preserve">4.025B</w:t>
      </w:r>
    </w:p>
    <w:p>
      <w:pPr>
        <w:pStyle w:val="Compact"/>
        <w:numPr>
          <w:ilvl w:val="0"/>
          <w:numId w:val="1001"/>
        </w:numPr>
      </w:pPr>
      <w:r>
        <w:rPr>
          <w:b/>
          <w:bCs/>
        </w:rPr>
        <w:t xml:space="preserve">Adjusted diluted EPS:</w:t>
      </w:r>
      <w:r>
        <w:t xml:space="preserve"> </w:t>
      </w:r>
      <m:oMath>
        <m:r>
          <m:t>12.65</m:t>
        </m:r>
        <m:r>
          <m:rPr>
            <m:sty m:val="p"/>
          </m:rPr>
          <m:t>–</m:t>
        </m:r>
      </m:oMath>
      <w:r>
        <w:t xml:space="preserve">12.95</w:t>
      </w:r>
    </w:p>
    <w:p>
      <w:pPr>
        <w:pStyle w:val="FirstParagraph"/>
      </w:pPr>
      <w:r>
        <w:t xml:space="preserve">The Q1 EPS raise was constructive, but the market will likely distinguish between upside driven by operating performance versus interest expense, taxes, FX, and a lower share count from repurchases.</w:t>
      </w:r>
    </w:p>
    <w:bookmarkEnd w:id="10"/>
    <w:bookmarkStart w:id="16" w:name="what-matters-most"/>
    <w:p>
      <w:pPr>
        <w:pStyle w:val="Heading2"/>
      </w:pPr>
      <w:r>
        <w:t xml:space="preserve">What matters most</w:t>
      </w:r>
    </w:p>
    <w:bookmarkStart w:id="11" w:name="X2d12e014c89b14a72bf294eb177f5e55e79bf2f"/>
    <w:p>
      <w:pPr>
        <w:pStyle w:val="Heading3"/>
      </w:pPr>
      <w:r>
        <w:t xml:space="preserve">1. R&amp;DS bookings, service-fee growth, and backlog conversion</w:t>
      </w:r>
    </w:p>
    <w:p>
      <w:pPr>
        <w:pStyle w:val="FirstParagraph"/>
      </w:pPr>
      <w:r>
        <w:t xml:space="preserve">R&amp;DS remains the most consequential variable for the medium-term narrative. In Q1, the company reported:</w:t>
      </w:r>
    </w:p>
    <w:p>
      <w:pPr>
        <w:pStyle w:val="Compact"/>
        <w:numPr>
          <w:ilvl w:val="0"/>
          <w:numId w:val="1002"/>
        </w:numPr>
      </w:pPr>
      <w:r>
        <w:rPr>
          <w:b/>
          <w:bCs/>
        </w:rPr>
        <w:t xml:space="preserve">$2.5B</w:t>
      </w:r>
      <w:r>
        <w:t xml:space="preserve"> </w:t>
      </w:r>
      <w:r>
        <w:t xml:space="preserve">of net new R&amp;DS bookings;</w:t>
      </w:r>
    </w:p>
    <w:p>
      <w:pPr>
        <w:pStyle w:val="Compact"/>
        <w:numPr>
          <w:ilvl w:val="0"/>
          <w:numId w:val="1002"/>
        </w:numPr>
      </w:pPr>
      <w:r>
        <w:rPr>
          <w:b/>
          <w:bCs/>
        </w:rPr>
        <w:t xml:space="preserve">1.04x</w:t>
      </w:r>
      <w:r>
        <w:t xml:space="preserve"> </w:t>
      </w:r>
      <w:r>
        <w:t xml:space="preserve">quarterly book-to-bill;</w:t>
      </w:r>
    </w:p>
    <w:p>
      <w:pPr>
        <w:pStyle w:val="Compact"/>
        <w:numPr>
          <w:ilvl w:val="0"/>
          <w:numId w:val="1002"/>
        </w:numPr>
      </w:pPr>
      <w:r>
        <w:rPr>
          <w:b/>
          <w:bCs/>
        </w:rPr>
        <w:t xml:space="preserve">$34.2B</w:t>
      </w:r>
      <w:r>
        <w:t xml:space="preserve"> </w:t>
      </w:r>
      <w:r>
        <w:t xml:space="preserve">of contracted backlog;</w:t>
      </w:r>
    </w:p>
    <w:p>
      <w:pPr>
        <w:pStyle w:val="Compact"/>
        <w:numPr>
          <w:ilvl w:val="0"/>
          <w:numId w:val="1002"/>
        </w:numPr>
      </w:pPr>
      <w:r>
        <w:rPr>
          <w:b/>
          <w:bCs/>
        </w:rPr>
        <w:t xml:space="preserve">$8.9B</w:t>
      </w:r>
      <w:r>
        <w:t xml:space="preserve"> </w:t>
      </w:r>
      <w:r>
        <w:t xml:space="preserve">of backlog expected to convert to revenue over the next 12 months, up</w:t>
      </w:r>
      <w:r>
        <w:t xml:space="preserve"> </w:t>
      </w:r>
      <w:r>
        <w:rPr>
          <w:b/>
          <w:bCs/>
        </w:rPr>
        <w:t xml:space="preserve">7.6%</w:t>
      </w:r>
      <w:r>
        <w:t xml:space="preserve"> </w:t>
      </w:r>
      <w:r>
        <w:t xml:space="preserve">year over year.</w:t>
      </w:r>
    </w:p>
    <w:p>
      <w:pPr>
        <w:pStyle w:val="FirstParagraph"/>
      </w:pPr>
      <w:r>
        <w:t xml:space="preserve">Management argued that the Q1 book-to-bill understated underlying demand because reimbursed/pass-through expense bookings were unusually low. It indicated that normalized pass-through levels would have placed the metric closer to roughly</w:t>
      </w:r>
      <w:r>
        <w:t xml:space="preserve"> </w:t>
      </w:r>
      <w:r>
        <w:rPr>
          <w:b/>
          <w:bCs/>
        </w:rPr>
        <w:t xml:space="preserve">1.15x</w:t>
      </w:r>
      <w:r>
        <w:t xml:space="preserve">. Therefore, investors should avoid treating book-to-bill as a standalone verdict and instead assess four inputs together:</w:t>
      </w:r>
    </w:p>
    <w:p>
      <w:pPr>
        <w:pStyle w:val="Compact"/>
        <w:numPr>
          <w:ilvl w:val="0"/>
          <w:numId w:val="1003"/>
        </w:numPr>
      </w:pPr>
      <w:r>
        <w:rPr>
          <w:b/>
          <w:bCs/>
        </w:rPr>
        <w:t xml:space="preserve">Net service-fee bookings</w:t>
      </w:r>
      <w:r>
        <w:t xml:space="preserve"> </w:t>
      </w:r>
      <w:r>
        <w:t xml:space="preserve">rather than total bookings alone;</w:t>
      </w:r>
    </w:p>
    <w:p>
      <w:pPr>
        <w:pStyle w:val="Compact"/>
        <w:numPr>
          <w:ilvl w:val="0"/>
          <w:numId w:val="1003"/>
        </w:numPr>
      </w:pPr>
      <w:r>
        <w:rPr>
          <w:b/>
          <w:bCs/>
        </w:rPr>
        <w:t xml:space="preserve">Cancellation trends</w:t>
      </w:r>
      <w:r>
        <w:t xml:space="preserve">—Q1 cancellations were described as normal;</w:t>
      </w:r>
    </w:p>
    <w:p>
      <w:pPr>
        <w:pStyle w:val="Compact"/>
        <w:numPr>
          <w:ilvl w:val="0"/>
          <w:numId w:val="1003"/>
        </w:numPr>
      </w:pPr>
      <w:r>
        <w:rPr>
          <w:b/>
          <w:bCs/>
        </w:rPr>
        <w:t xml:space="preserve">Qualified pipeline and RFP flow</w:t>
      </w:r>
      <w:r>
        <w:t xml:space="preserve">; and</w:t>
      </w:r>
    </w:p>
    <w:p>
      <w:pPr>
        <w:pStyle w:val="Compact"/>
        <w:numPr>
          <w:ilvl w:val="0"/>
          <w:numId w:val="1003"/>
        </w:numPr>
      </w:pPr>
      <w:r>
        <w:rPr>
          <w:b/>
          <w:bCs/>
        </w:rPr>
        <w:t xml:space="preserve">Next-12-month backlog conversion</w:t>
      </w:r>
      <w:r>
        <w:t xml:space="preserve">, which is more directly relevant to 2027 revenue visibility.</w:t>
      </w:r>
    </w:p>
    <w:p>
      <w:pPr>
        <w:pStyle w:val="FirstParagraph"/>
      </w:pPr>
      <w:r>
        <w:t xml:space="preserve">A clean print would show continued service-fee booking growth, stable cancellations, and another step-up in forward conversion revenue. A weaker result—especially if paired with softer commentary on large-pharma decision cycles—would revive concerns that clinical-development demand remains sluggish.</w:t>
      </w:r>
    </w:p>
    <w:bookmarkEnd w:id="11"/>
    <w:bookmarkStart w:id="12" w:name="X099ef3243cb44b3be566c67833d076cf2c8d34c"/>
    <w:p>
      <w:pPr>
        <w:pStyle w:val="Heading3"/>
      </w:pPr>
      <w:r>
        <w:t xml:space="preserve">2. Is Commercial Solutions sustaining its Q1 acceleration?</w:t>
      </w:r>
    </w:p>
    <w:p>
      <w:pPr>
        <w:pStyle w:val="FirstParagraph"/>
      </w:pPr>
      <w:r>
        <w:t xml:space="preserve">Commercial Solutions was the standout in Q1:</w:t>
      </w:r>
    </w:p>
    <w:p>
      <w:pPr>
        <w:pStyle w:val="Compact"/>
        <w:numPr>
          <w:ilvl w:val="0"/>
          <w:numId w:val="1004"/>
        </w:numPr>
      </w:pPr>
      <w:r>
        <w:t xml:space="preserve">Revenue rose</w:t>
      </w:r>
      <w:r>
        <w:t xml:space="preserve"> </w:t>
      </w:r>
      <w:r>
        <w:rPr>
          <w:b/>
          <w:bCs/>
        </w:rPr>
        <w:t xml:space="preserve">11.6% reported</w:t>
      </w:r>
      <w:r>
        <w:t xml:space="preserve"> </w:t>
      </w:r>
      <w:r>
        <w:t xml:space="preserve">and</w:t>
      </w:r>
      <w:r>
        <w:t xml:space="preserve"> </w:t>
      </w:r>
      <w:r>
        <w:rPr>
          <w:b/>
          <w:bCs/>
        </w:rPr>
        <w:t xml:space="preserve">8.5% constant currency</w:t>
      </w:r>
      <w:r>
        <w:t xml:space="preserve">;</w:t>
      </w:r>
    </w:p>
    <w:p>
      <w:pPr>
        <w:pStyle w:val="Compact"/>
        <w:numPr>
          <w:ilvl w:val="0"/>
          <w:numId w:val="1004"/>
        </w:numPr>
      </w:pPr>
      <w:r>
        <w:t xml:space="preserve">Management characterized underlying organic growth as approximately</w:t>
      </w:r>
      <w:r>
        <w:t xml:space="preserve"> </w:t>
      </w:r>
      <w:r>
        <w:rPr>
          <w:b/>
          <w:bCs/>
        </w:rPr>
        <w:t xml:space="preserve">5%</w:t>
      </w:r>
      <w:r>
        <w:t xml:space="preserve">, versus roughly 2% a year earlier;</w:t>
      </w:r>
    </w:p>
    <w:p>
      <w:pPr>
        <w:pStyle w:val="Compact"/>
        <w:numPr>
          <w:ilvl w:val="0"/>
          <w:numId w:val="1004"/>
        </w:numPr>
      </w:pPr>
      <w:r>
        <w:t xml:space="preserve">Strength came from patient solutions, analytics and consulting, and commercial engagement.</w:t>
      </w:r>
    </w:p>
    <w:p>
      <w:pPr>
        <w:pStyle w:val="FirstParagraph"/>
      </w:pPr>
      <w:r>
        <w:t xml:space="preserve">This segment is increasingly important to the equity narrative. It offers diversification from the clinical outsourcing cycle and is where IQVIA’s health-data and AI positioning may become more visibly monetizable.</w:t>
      </w:r>
    </w:p>
    <w:p>
      <w:pPr>
        <w:pStyle w:val="BodyText"/>
      </w:pPr>
      <w:r>
        <w:t xml:space="preserve">Investors should listen for:</w:t>
      </w:r>
    </w:p>
    <w:p>
      <w:pPr>
        <w:pStyle w:val="Compact"/>
        <w:numPr>
          <w:ilvl w:val="0"/>
          <w:numId w:val="1005"/>
        </w:numPr>
      </w:pPr>
      <w:r>
        <w:t xml:space="preserve">Growth in analytics and consulting after management called Q1 its strongest growth in that area in three years;</w:t>
      </w:r>
    </w:p>
    <w:p>
      <w:pPr>
        <w:pStyle w:val="Compact"/>
        <w:numPr>
          <w:ilvl w:val="0"/>
          <w:numId w:val="1005"/>
        </w:numPr>
      </w:pPr>
      <w:r>
        <w:t xml:space="preserve">Evidence that pharmaceutical launch activity and commercialization spending remain healthy;</w:t>
      </w:r>
    </w:p>
    <w:p>
      <w:pPr>
        <w:pStyle w:val="Compact"/>
        <w:numPr>
          <w:ilvl w:val="0"/>
          <w:numId w:val="1005"/>
        </w:numPr>
      </w:pPr>
      <w:r>
        <w:t xml:space="preserve">Pipeline conversion and customer adoption for AI-enabled data, analytics, and commercial-workflow products.</w:t>
      </w:r>
    </w:p>
    <w:p>
      <w:pPr>
        <w:pStyle w:val="FirstParagraph"/>
      </w:pPr>
      <w:r>
        <w:t xml:space="preserve">The key risk is that Q1’s strength reflected project timing or acquisition/FX support rather than a durable improvement in discretionary commercial spending.</w:t>
      </w:r>
    </w:p>
    <w:bookmarkEnd w:id="12"/>
    <w:bookmarkStart w:id="13" w:name="Xb01bdf9282d6f947cbe7cbfacb77dba4e04c8d6"/>
    <w:p>
      <w:pPr>
        <w:pStyle w:val="Heading3"/>
      </w:pPr>
      <w:r>
        <w:t xml:space="preserve">3. AI: commercial opportunity versus execution rhetoric</w:t>
      </w:r>
    </w:p>
    <w:p>
      <w:pPr>
        <w:pStyle w:val="FirstParagraph"/>
      </w:pPr>
      <w:r>
        <w:t xml:space="preserve">IQVIA has positioned AI as a demand tailwind rather than a service-displacement threat. At Q1, management cited:</w:t>
      </w:r>
    </w:p>
    <w:p>
      <w:pPr>
        <w:pStyle w:val="Compact"/>
        <w:numPr>
          <w:ilvl w:val="0"/>
          <w:numId w:val="1006"/>
        </w:numPr>
      </w:pPr>
      <w:r>
        <w:rPr>
          <w:b/>
          <w:bCs/>
        </w:rPr>
        <w:t xml:space="preserve">192 AI agents</w:t>
      </w:r>
      <w:r>
        <w:t xml:space="preserve"> </w:t>
      </w:r>
      <w:r>
        <w:t xml:space="preserve">deployed across</w:t>
      </w:r>
      <w:r>
        <w:t xml:space="preserve"> </w:t>
      </w:r>
      <w:r>
        <w:rPr>
          <w:b/>
          <w:bCs/>
        </w:rPr>
        <w:t xml:space="preserve">64 use cases</w:t>
      </w:r>
      <w:r>
        <w:t xml:space="preserve">;</w:t>
      </w:r>
    </w:p>
    <w:p>
      <w:pPr>
        <w:pStyle w:val="Compact"/>
        <w:numPr>
          <w:ilvl w:val="0"/>
          <w:numId w:val="1006"/>
        </w:numPr>
      </w:pPr>
      <w:r>
        <w:t xml:space="preserve">Usage by</w:t>
      </w:r>
      <w:r>
        <w:t xml:space="preserve"> </w:t>
      </w:r>
      <w:r>
        <w:rPr>
          <w:b/>
          <w:bCs/>
        </w:rPr>
        <w:t xml:space="preserve">19 of the top 20 pharmaceutical companies</w:t>
      </w:r>
      <w:r>
        <w:t xml:space="preserve"> </w:t>
      </w:r>
      <w:r>
        <w:t xml:space="preserve">in some workflows;</w:t>
      </w:r>
    </w:p>
    <w:p>
      <w:pPr>
        <w:pStyle w:val="Compact"/>
        <w:numPr>
          <w:ilvl w:val="0"/>
          <w:numId w:val="1006"/>
        </w:numPr>
      </w:pPr>
      <w:r>
        <w:t xml:space="preserve">Increasing customer interest in AI-ready data foundations and specialized life-sciences agents.</w:t>
      </w:r>
    </w:p>
    <w:p>
      <w:pPr>
        <w:pStyle w:val="FirstParagraph"/>
      </w:pPr>
      <w:r>
        <w:t xml:space="preserve">The company’s strategic case is credible: proprietary healthcare data, domain expertise, regulated workflows, and global clinical-delivery infrastructure are harder to replicate than generic AI tools. But investors need more than adoption statistics. The useful disclosures on the call would be:</w:t>
      </w:r>
    </w:p>
    <w:p>
      <w:pPr>
        <w:pStyle w:val="Compact"/>
        <w:numPr>
          <w:ilvl w:val="0"/>
          <w:numId w:val="1007"/>
        </w:numPr>
      </w:pPr>
      <w:r>
        <w:t xml:space="preserve">Whether AI is contributing to</w:t>
      </w:r>
      <w:r>
        <w:t xml:space="preserve"> </w:t>
      </w:r>
      <w:r>
        <w:rPr>
          <w:b/>
          <w:bCs/>
        </w:rPr>
        <w:t xml:space="preserve">bookings, pipeline growth, pricing, or contract scope</w:t>
      </w:r>
      <w:r>
        <w:t xml:space="preserve">;</w:t>
      </w:r>
    </w:p>
    <w:p>
      <w:pPr>
        <w:pStyle w:val="Compact"/>
        <w:numPr>
          <w:ilvl w:val="0"/>
          <w:numId w:val="1007"/>
        </w:numPr>
      </w:pPr>
      <w:r>
        <w:t xml:space="preserve">Proof points on measurable cycle-time reduction, improved trial execution, or customer ROI;</w:t>
      </w:r>
    </w:p>
    <w:p>
      <w:pPr>
        <w:pStyle w:val="Compact"/>
        <w:numPr>
          <w:ilvl w:val="0"/>
          <w:numId w:val="1007"/>
        </w:numPr>
      </w:pPr>
      <w:r>
        <w:t xml:space="preserve">Whether internal productivity gains are contributing to margin improvement;</w:t>
      </w:r>
    </w:p>
    <w:p>
      <w:pPr>
        <w:pStyle w:val="Compact"/>
        <w:numPr>
          <w:ilvl w:val="0"/>
          <w:numId w:val="1007"/>
        </w:numPr>
      </w:pPr>
      <w:r>
        <w:t xml:space="preserve">Any indication that AI-led offerings are becoming recurring or scaled revenue streams.</w:t>
      </w:r>
    </w:p>
    <w:p>
      <w:pPr>
        <w:pStyle w:val="FirstParagraph"/>
      </w:pPr>
      <w:r>
        <w:t xml:space="preserve">The near-term earnings impact should not be overstated. The more relevant signal is whether AI is enhancing IQVIA’s competitive positioning and supporting future organic growth.</w:t>
      </w:r>
    </w:p>
    <w:bookmarkEnd w:id="13"/>
    <w:bookmarkStart w:id="14" w:name="X15296f5bd54a74b87024c5e17d5ad3a1a63ef46"/>
    <w:p>
      <w:pPr>
        <w:pStyle w:val="Heading3"/>
      </w:pPr>
      <w:r>
        <w:t xml:space="preserve">4. Margin progression and the quality of revenue growth</w:t>
      </w:r>
    </w:p>
    <w:p>
      <w:pPr>
        <w:pStyle w:val="FirstParagraph"/>
      </w:pPr>
      <w:r>
        <w:t xml:space="preserve">Q1 adjusted EBITDA grew</w:t>
      </w:r>
      <w:r>
        <w:t xml:space="preserve"> </w:t>
      </w:r>
      <w:r>
        <w:rPr>
          <w:b/>
          <w:bCs/>
        </w:rPr>
        <w:t xml:space="preserve">5.5%</w:t>
      </w:r>
      <w:r>
        <w:t xml:space="preserve">, trailing revenue growth, and management attributed reported margin pressure largely to FX and mix rather than operational deterioration. For Q2, the EBITDA guide implies growth broadly in line with revenue, not a major margin inflection.</w:t>
      </w:r>
    </w:p>
    <w:p>
      <w:pPr>
        <w:pStyle w:val="BodyText"/>
      </w:pPr>
      <w:r>
        <w:t xml:space="preserve">Areas to monitor:</w:t>
      </w:r>
    </w:p>
    <w:p>
      <w:pPr>
        <w:pStyle w:val="Compact"/>
        <w:numPr>
          <w:ilvl w:val="0"/>
          <w:numId w:val="1008"/>
        </w:numPr>
      </w:pPr>
      <w:r>
        <w:t xml:space="preserve">Commercial Solutions mix, particularly the relative contribution of lower-margin patient and real-world offerings;</w:t>
      </w:r>
    </w:p>
    <w:p>
      <w:pPr>
        <w:pStyle w:val="Compact"/>
        <w:numPr>
          <w:ilvl w:val="0"/>
          <w:numId w:val="1008"/>
        </w:numPr>
      </w:pPr>
      <w:r>
        <w:t xml:space="preserve">R&amp;DS mix between full-service work and functional service provision;</w:t>
      </w:r>
    </w:p>
    <w:p>
      <w:pPr>
        <w:pStyle w:val="Compact"/>
        <w:numPr>
          <w:ilvl w:val="0"/>
          <w:numId w:val="1008"/>
        </w:numPr>
      </w:pPr>
      <w:r>
        <w:t xml:space="preserve">FX effects, which can inflate reported revenue without a proportional EBITDA benefit;</w:t>
      </w:r>
    </w:p>
    <w:p>
      <w:pPr>
        <w:pStyle w:val="Compact"/>
        <w:numPr>
          <w:ilvl w:val="0"/>
          <w:numId w:val="1008"/>
        </w:numPr>
      </w:pPr>
      <w:r>
        <w:t xml:space="preserve">Productivity-program execution and the timing of operational margin expansion.</w:t>
      </w:r>
    </w:p>
    <w:p>
      <w:pPr>
        <w:pStyle w:val="FirstParagraph"/>
      </w:pPr>
      <w:r>
        <w:t xml:space="preserve">A good outcome is not necessarily a sharp year-over-year margin increase this quarter. It is confirmation that margins are behaving as management outlined and that productivity offsets mix pressure as FX effects moderate through the year.</w:t>
      </w:r>
    </w:p>
    <w:bookmarkEnd w:id="14"/>
    <w:bookmarkStart w:id="15" w:name="X0192dff9405b0ecd65510b4b43513cc3c04ad75"/>
    <w:p>
      <w:pPr>
        <w:pStyle w:val="Heading3"/>
      </w:pPr>
      <w:r>
        <w:t xml:space="preserve">5. Capital allocation: free cash flow, leverage, refinancing, and repurchases</w:t>
      </w:r>
    </w:p>
    <w:p>
      <w:pPr>
        <w:pStyle w:val="FirstParagraph"/>
      </w:pPr>
      <w:r>
        <w:t xml:space="preserve">IQVIA generated</w:t>
      </w:r>
      <w:r>
        <w:t xml:space="preserve"> </w:t>
      </w:r>
      <m:oMath>
        <m:r>
          <m:t>491</m:t>
        </m:r>
        <m:r>
          <m:t>M</m:t>
        </m:r>
        <m:r>
          <m:rPr>
            <m:sty m:val="p"/>
          </m:rPr>
          <m:t>*</m:t>
        </m:r>
        <m:r>
          <m:rPr>
            <m:sty m:val="p"/>
          </m:rPr>
          <m:t>*</m:t>
        </m:r>
        <m:r>
          <m:t>o</m:t>
        </m:r>
        <m:r>
          <m:t>f</m:t>
        </m:r>
        <m:r>
          <m:t>Q</m:t>
        </m:r>
        <m:r>
          <m:t>1</m:t>
        </m:r>
        <m:r>
          <m:t>f</m:t>
        </m:r>
        <m:r>
          <m:t>r</m:t>
        </m:r>
        <m:r>
          <m:t>e</m:t>
        </m:r>
        <m:r>
          <m:t>e</m:t>
        </m:r>
        <m:r>
          <m:t>c</m:t>
        </m:r>
        <m:r>
          <m:t>a</m:t>
        </m:r>
        <m:r>
          <m:t>s</m:t>
        </m:r>
        <m:r>
          <m:t>h</m:t>
        </m:r>
        <m:r>
          <m:t>f</m:t>
        </m:r>
        <m:r>
          <m:t>l</m:t>
        </m:r>
        <m:r>
          <m:t>o</m:t>
        </m:r>
        <m:r>
          <m:t>w</m:t>
        </m:r>
        <m:r>
          <m:rPr>
            <m:sty m:val="p"/>
          </m:rPr>
          <m:t>—</m:t>
        </m:r>
        <m:r>
          <m:t>e</m:t>
        </m:r>
        <m:r>
          <m:t>q</m:t>
        </m:r>
        <m:r>
          <m:t>u</m:t>
        </m:r>
        <m:r>
          <m:t>a</m:t>
        </m:r>
        <m:r>
          <m:t>l</m:t>
        </m:r>
        <m:r>
          <m:t>t</m:t>
        </m:r>
        <m:r>
          <m:t>o</m:t>
        </m:r>
        <m:r>
          <m:t>100</m:t>
        </m:r>
      </m:oMath>
      <w:r>
        <w:rPr>
          <w:b/>
          <w:bCs/>
        </w:rPr>
        <w:t xml:space="preserve">552M</w:t>
      </w:r>
      <w:r>
        <w:t xml:space="preserve"> </w:t>
      </w:r>
      <w:r>
        <w:t xml:space="preserve">of stock. At quarter-end, net debt was</w:t>
      </w:r>
      <w:r>
        <w:t xml:space="preserve"> </w:t>
      </w:r>
      <w:r>
        <w:rPr>
          <w:b/>
          <w:bCs/>
        </w:rPr>
        <w:t xml:space="preserve">$13.9B</w:t>
      </w:r>
      <w:r>
        <w:t xml:space="preserve"> </w:t>
      </w:r>
      <w:r>
        <w:t xml:space="preserve">and net leverage was</w:t>
      </w:r>
      <w:r>
        <w:t xml:space="preserve"> </w:t>
      </w:r>
      <w:r>
        <w:rPr>
          <w:b/>
          <w:bCs/>
        </w:rPr>
        <w:t xml:space="preserve">3.62x</w:t>
      </w:r>
      <w:r>
        <w:t xml:space="preserve"> </w:t>
      </w:r>
      <w:r>
        <w:t xml:space="preserve">trailing-twelve-month adjusted EBITDA.</w:t>
      </w:r>
    </w:p>
    <w:p>
      <w:pPr>
        <w:pStyle w:val="BodyText"/>
      </w:pPr>
      <w:r>
        <w:t xml:space="preserve">Since Q1, IQVIA issued</w:t>
      </w:r>
      <w:r>
        <w:t xml:space="preserve"> </w:t>
      </w:r>
      <w:r>
        <w:rPr>
          <w:b/>
          <w:bCs/>
        </w:rPr>
        <w:t xml:space="preserve">€950M of 4.625% senior notes due 2033</w:t>
      </w:r>
      <w:r>
        <w:t xml:space="preserve">, with proceeds designated to refinance existing debt. The transaction extends funding and addresses maturities, but leverage remains material and should keep free-cash-flow conversion and capital-allocation discipline in focus.</w:t>
      </w:r>
    </w:p>
    <w:p>
      <w:pPr>
        <w:pStyle w:val="BodyText"/>
      </w:pPr>
      <w:r>
        <w:t xml:space="preserve">The company also authorized an additional</w:t>
      </w:r>
      <w:r>
        <w:t xml:space="preserve"> </w:t>
      </w:r>
      <w:r>
        <w:rPr>
          <w:b/>
          <w:bCs/>
        </w:rPr>
        <w:t xml:space="preserve">$2B</w:t>
      </w:r>
      <w:r>
        <w:t xml:space="preserve"> </w:t>
      </w:r>
      <w:r>
        <w:t xml:space="preserve">of repurchases in May. Investors should watch for:</w:t>
      </w:r>
    </w:p>
    <w:p>
      <w:pPr>
        <w:pStyle w:val="Compact"/>
        <w:numPr>
          <w:ilvl w:val="0"/>
          <w:numId w:val="1009"/>
        </w:numPr>
      </w:pPr>
      <w:r>
        <w:t xml:space="preserve">Free-cash-flow conversion after Q1’s strong result;</w:t>
      </w:r>
    </w:p>
    <w:p>
      <w:pPr>
        <w:pStyle w:val="Compact"/>
        <w:numPr>
          <w:ilvl w:val="0"/>
          <w:numId w:val="1009"/>
        </w:numPr>
      </w:pPr>
      <w:r>
        <w:t xml:space="preserve">Net-leverage trajectory;</w:t>
      </w:r>
    </w:p>
    <w:p>
      <w:pPr>
        <w:pStyle w:val="Compact"/>
        <w:numPr>
          <w:ilvl w:val="0"/>
          <w:numId w:val="1009"/>
        </w:numPr>
      </w:pPr>
      <w:r>
        <w:t xml:space="preserve">The pace of repurchases versus debt reduction and M&amp;A;</w:t>
      </w:r>
    </w:p>
    <w:p>
      <w:pPr>
        <w:pStyle w:val="Compact"/>
        <w:numPr>
          <w:ilvl w:val="0"/>
          <w:numId w:val="1009"/>
        </w:numPr>
      </w:pPr>
      <w:r>
        <w:t xml:space="preserve">Any updated commentary on interest expense following the refinancing.</w:t>
      </w:r>
    </w:p>
    <w:p>
      <w:pPr>
        <w:pStyle w:val="FirstParagraph"/>
      </w:pPr>
      <w:r>
        <w:t xml:space="preserve">Buybacks remain supportive to EPS, but a reacceleration thesis ultimately depends more on organic growth and backlog conversion than on share-count reduction.</w:t>
      </w:r>
    </w:p>
    <w:bookmarkEnd w:id="15"/>
    <w:bookmarkEnd w:id="16"/>
    <w:bookmarkStart w:id="17" w:name="bull-case-into-the-print"/>
    <w:p>
      <w:pPr>
        <w:pStyle w:val="Heading2"/>
      </w:pPr>
      <w:r>
        <w:t xml:space="preserve">Bull case into the print</w:t>
      </w:r>
    </w:p>
    <w:p>
      <w:pPr>
        <w:pStyle w:val="FirstParagraph"/>
      </w:pPr>
      <w:r>
        <w:t xml:space="preserve">A constructive report would feature:</w:t>
      </w:r>
    </w:p>
    <w:p>
      <w:pPr>
        <w:pStyle w:val="Compact"/>
        <w:numPr>
          <w:ilvl w:val="0"/>
          <w:numId w:val="1010"/>
        </w:numPr>
      </w:pPr>
      <w:r>
        <w:t xml:space="preserve">Revenue, EBITDA, and EPS at or above the high end of 2Q guidance;</w:t>
      </w:r>
    </w:p>
    <w:p>
      <w:pPr>
        <w:pStyle w:val="Compact"/>
        <w:numPr>
          <w:ilvl w:val="0"/>
          <w:numId w:val="1010"/>
        </w:numPr>
      </w:pPr>
      <w:r>
        <w:t xml:space="preserve">Reaffirmed or raised full-year revenue and EBITDA outlook;</w:t>
      </w:r>
    </w:p>
    <w:p>
      <w:pPr>
        <w:pStyle w:val="Compact"/>
        <w:numPr>
          <w:ilvl w:val="0"/>
          <w:numId w:val="1010"/>
        </w:numPr>
      </w:pPr>
      <w:r>
        <w:t xml:space="preserve">Sustained Commercial Solutions momentum;</w:t>
      </w:r>
    </w:p>
    <w:p>
      <w:pPr>
        <w:pStyle w:val="Compact"/>
        <w:numPr>
          <w:ilvl w:val="0"/>
          <w:numId w:val="1010"/>
        </w:numPr>
      </w:pPr>
      <w:r>
        <w:t xml:space="preserve">R&amp;DS service-fee bookings and backlog conversion that validate stabilization;</w:t>
      </w:r>
    </w:p>
    <w:p>
      <w:pPr>
        <w:pStyle w:val="Compact"/>
        <w:numPr>
          <w:ilvl w:val="0"/>
          <w:numId w:val="1010"/>
        </w:numPr>
      </w:pPr>
      <w:r>
        <w:t xml:space="preserve">Stable cancellation activity and improving large-pharma decision-making;</w:t>
      </w:r>
    </w:p>
    <w:p>
      <w:pPr>
        <w:pStyle w:val="Compact"/>
        <w:numPr>
          <w:ilvl w:val="0"/>
          <w:numId w:val="1010"/>
        </w:numPr>
      </w:pPr>
      <w:r>
        <w:t xml:space="preserve">Evidence that AI is producing tangible client demand and internal productivity benefits;</w:t>
      </w:r>
    </w:p>
    <w:p>
      <w:pPr>
        <w:pStyle w:val="Compact"/>
        <w:numPr>
          <w:ilvl w:val="0"/>
          <w:numId w:val="1010"/>
        </w:numPr>
      </w:pPr>
      <w:r>
        <w:t xml:space="preserve">Strong free cash flow alongside disciplined repurchases and stable leverage.</w:t>
      </w:r>
    </w:p>
    <w:bookmarkEnd w:id="17"/>
    <w:bookmarkStart w:id="18" w:name="bear-case-into-the-print"/>
    <w:p>
      <w:pPr>
        <w:pStyle w:val="Heading2"/>
      </w:pPr>
      <w:r>
        <w:t xml:space="preserve">Bear case into the print</w:t>
      </w:r>
    </w:p>
    <w:p>
      <w:pPr>
        <w:pStyle w:val="FirstParagraph"/>
      </w:pPr>
      <w:r>
        <w:t xml:space="preserve">The negative scenario is less about a small EPS miss and more about a renewed slowdown in demand indicators:</w:t>
      </w:r>
    </w:p>
    <w:p>
      <w:pPr>
        <w:pStyle w:val="Compact"/>
        <w:numPr>
          <w:ilvl w:val="0"/>
          <w:numId w:val="1011"/>
        </w:numPr>
      </w:pPr>
      <w:r>
        <w:t xml:space="preserve">R&amp;DS bookings or conversion metrics soften materially;</w:t>
      </w:r>
    </w:p>
    <w:p>
      <w:pPr>
        <w:pStyle w:val="Compact"/>
        <w:numPr>
          <w:ilvl w:val="0"/>
          <w:numId w:val="1011"/>
        </w:numPr>
      </w:pPr>
      <w:r>
        <w:t xml:space="preserve">Management cites longer decision times, delayed starts, or weaker large-pharma spending;</w:t>
      </w:r>
    </w:p>
    <w:p>
      <w:pPr>
        <w:pStyle w:val="Compact"/>
        <w:numPr>
          <w:ilvl w:val="0"/>
          <w:numId w:val="1011"/>
        </w:numPr>
      </w:pPr>
      <w:r>
        <w:t xml:space="preserve">Commercial growth fades after the Q1 acceleration;</w:t>
      </w:r>
    </w:p>
    <w:p>
      <w:pPr>
        <w:pStyle w:val="Compact"/>
        <w:numPr>
          <w:ilvl w:val="0"/>
          <w:numId w:val="1011"/>
        </w:numPr>
      </w:pPr>
      <w:r>
        <w:t xml:space="preserve">Revenue upside is primarily currency- or acquisition-led;</w:t>
      </w:r>
    </w:p>
    <w:p>
      <w:pPr>
        <w:pStyle w:val="Compact"/>
        <w:numPr>
          <w:ilvl w:val="0"/>
          <w:numId w:val="1011"/>
        </w:numPr>
      </w:pPr>
      <w:r>
        <w:t xml:space="preserve">Mix and FX pressure prevent operational margin improvement;</w:t>
      </w:r>
    </w:p>
    <w:p>
      <w:pPr>
        <w:pStyle w:val="Compact"/>
        <w:numPr>
          <w:ilvl w:val="0"/>
          <w:numId w:val="1011"/>
        </w:numPr>
      </w:pPr>
      <w:r>
        <w:t xml:space="preserve">Full-year revenue or EBITDA guidance is trimmed, or commentary implies a back-half catch-up that investors view as less credible.</w:t>
      </w:r>
    </w:p>
    <w:bookmarkEnd w:id="18"/>
    <w:bookmarkStart w:id="20" w:name="bottom-line"/>
    <w:p>
      <w:pPr>
        <w:pStyle w:val="Heading2"/>
      </w:pPr>
      <w:r>
        <w:t xml:space="preserve">Bottom line</w:t>
      </w:r>
    </w:p>
    <w:p>
      <w:pPr>
        <w:pStyle w:val="FirstParagraph"/>
      </w:pPr>
      <w:r>
        <w:t xml:space="preserve">IQVIA’s Q2 report should be judged on the</w:t>
      </w:r>
      <w:r>
        <w:t xml:space="preserve"> </w:t>
      </w:r>
      <w:r>
        <w:rPr>
          <w:b/>
          <w:bCs/>
        </w:rPr>
        <w:t xml:space="preserve">durability and breadth of the recovery</w:t>
      </w:r>
      <w:r>
        <w:t xml:space="preserve">, not merely whether it clears quarterly guidance. Q1 established a favorable starting point: Commercial Solutions accelerated, R&amp;DS forward indicators improved, and the company raised EPS guidance. To sustain the recent share-price recovery, IQVIA now needs to demonstrate that those gains are translating into continued R&amp;DS demand normalization, dependable backlog conversion, and credible organic growth beyond the support from FX, acquisitions, and buybacks.</w:t>
      </w:r>
    </w:p>
    <w:bookmarkStart w:id="19" w:name="key-call-questions"/>
    <w:p>
      <w:pPr>
        <w:pStyle w:val="Heading3"/>
      </w:pPr>
      <w:r>
        <w:t xml:space="preserve">Key call questions</w:t>
      </w:r>
    </w:p>
    <w:p>
      <w:pPr>
        <w:pStyle w:val="Compact"/>
        <w:numPr>
          <w:ilvl w:val="0"/>
          <w:numId w:val="1012"/>
        </w:numPr>
      </w:pPr>
      <w:r>
        <w:t xml:space="preserve">How did</w:t>
      </w:r>
      <w:r>
        <w:t xml:space="preserve"> </w:t>
      </w:r>
      <w:r>
        <w:rPr>
          <w:b/>
          <w:bCs/>
        </w:rPr>
        <w:t xml:space="preserve">net service-fee bookings</w:t>
      </w:r>
      <w:r>
        <w:t xml:space="preserve">, cancellations, and pass-through mix evolve sequentially in R&amp;DS?</w:t>
      </w:r>
    </w:p>
    <w:p>
      <w:pPr>
        <w:pStyle w:val="Compact"/>
        <w:numPr>
          <w:ilvl w:val="0"/>
          <w:numId w:val="1012"/>
        </w:numPr>
      </w:pPr>
      <w:r>
        <w:t xml:space="preserve">What is the latest</w:t>
      </w:r>
      <w:r>
        <w:t xml:space="preserve"> </w:t>
      </w:r>
      <w:r>
        <w:rPr>
          <w:b/>
          <w:bCs/>
        </w:rPr>
        <w:t xml:space="preserve">next-12-month backlog conversion</w:t>
      </w:r>
      <w:r>
        <w:t xml:space="preserve"> </w:t>
      </w:r>
      <w:r>
        <w:t xml:space="preserve">figure, and what does it imply for 2027?</w:t>
      </w:r>
    </w:p>
    <w:p>
      <w:pPr>
        <w:pStyle w:val="Compact"/>
        <w:numPr>
          <w:ilvl w:val="0"/>
          <w:numId w:val="1012"/>
        </w:numPr>
      </w:pPr>
      <w:r>
        <w:t xml:space="preserve">Are large-pharma clinical-development decisions returning toward normal timing, or merely stabilizing?</w:t>
      </w:r>
    </w:p>
    <w:p>
      <w:pPr>
        <w:pStyle w:val="Compact"/>
        <w:numPr>
          <w:ilvl w:val="0"/>
          <w:numId w:val="1012"/>
        </w:numPr>
      </w:pPr>
      <w:r>
        <w:t xml:space="preserve">Can Commercial Solutions maintain its Q1 organic-growth acceleration?</w:t>
      </w:r>
    </w:p>
    <w:p>
      <w:pPr>
        <w:pStyle w:val="Compact"/>
        <w:numPr>
          <w:ilvl w:val="0"/>
          <w:numId w:val="1012"/>
        </w:numPr>
      </w:pPr>
      <w:r>
        <w:t xml:space="preserve">What portion of AI activity has translated into contracted revenue, larger deal scope, or measurable internal productivity?</w:t>
      </w:r>
    </w:p>
    <w:p>
      <w:pPr>
        <w:pStyle w:val="Compact"/>
        <w:numPr>
          <w:ilvl w:val="0"/>
          <w:numId w:val="1012"/>
        </w:numPr>
      </w:pPr>
      <w:r>
        <w:t xml:space="preserve">How should investors model margins through the second half as FX and mix effects evolve?</w:t>
      </w:r>
    </w:p>
    <w:p>
      <w:pPr>
        <w:pStyle w:val="Compact"/>
        <w:numPr>
          <w:ilvl w:val="0"/>
          <w:numId w:val="1012"/>
        </w:numPr>
      </w:pPr>
      <w:r>
        <w:t xml:space="preserve">What are the updated expectations for free cash flow, leverage, and the pace of repurchases?</w:t>
      </w:r>
    </w:p>
    <w:p>
      <w:pPr>
        <w:pStyle w:val="FirstParagraph"/>
      </w:pPr>
      <w:r>
        <w:rPr>
          <w:i/>
          <w:iCs/>
        </w:rPr>
        <w:t xml:space="preserve">Source materials: IQVIA’s 1Q26 earnings release and conference-call transcript; 2Q26 earnings-date announcement; June 2026 debt-refinancing filing; and historical share-price data through July 27, 2026.</w:t>
      </w:r>
    </w:p>
    <w:bookmarkEnd w:id="19"/>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2026-07-28T00:38:36Z</dcterms:created>
  <dcterms:modified xsi:type="dcterms:W3CDTF">2026-07-28T00:38:36Z</dcterms:modified>
</cp:coreProperties>
</file>

<file path=docProps/custom.xml><?xml version="1.0" encoding="utf-8"?>
<Properties xmlns="http://schemas.openxmlformats.org/officeDocument/2006/custom-properties" xmlns:vt="http://schemas.openxmlformats.org/officeDocument/2006/docPropsVTypes"/>
</file>