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IQVIA Holdings, Inc. (IQV)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IQVIA Holdings, Inc.</w:t>
            </w:r>
          </w:p>
        </w:tc>
      </w:tr>
      <w:tr>
        <w:tc>
          <w:tcPr>
            <w:tcW w:type="dxa" w:w="4320"/>
          </w:tcPr>
          <w:p>
            <w:r>
              <w:rPr>
                <w:rFonts w:ascii="Calibri" w:hAnsi="Calibri"/>
                <w:b/>
                <w:sz w:val="22"/>
              </w:rPr>
              <w:t>Ticker</w:t>
            </w:r>
          </w:p>
        </w:tc>
        <w:tc>
          <w:tcPr>
            <w:tcW w:type="dxa" w:w="4320"/>
          </w:tcPr>
          <w:p>
            <w:r>
              <w:rPr>
                <w:rFonts w:ascii="Calibri" w:hAnsi="Calibri"/>
                <w:sz w:val="22"/>
              </w:rPr>
              <w:t>IQV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(pre-market)</w:t>
            </w:r>
          </w:p>
        </w:tc>
      </w:tr>
      <w:tr>
        <w:tc>
          <w:tcPr>
            <w:tcW w:type="dxa" w:w="4320"/>
          </w:tcPr>
          <w:p>
            <w:r>
              <w:rPr>
                <w:rFonts w:ascii="Calibri" w:hAnsi="Calibri"/>
                <w:b/>
                <w:sz w:val="22"/>
              </w:rPr>
              <w:t>Prepared Date</w:t>
            </w:r>
          </w:p>
        </w:tc>
        <w:tc>
          <w:tcPr>
            <w:tcW w:type="dxa" w:w="4320"/>
          </w:tcPr>
          <w:p>
            <w:r>
              <w:rPr>
                <w:rFonts w:ascii="Calibri" w:hAnsi="Calibri"/>
                <w:sz w:val="22"/>
              </w:rPr>
              <w:t>July 27, 2026</w:t>
            </w:r>
          </w:p>
        </w:tc>
      </w:tr>
      <w:tr>
        <w:tc>
          <w:tcPr>
            <w:tcW w:type="dxa" w:w="4320"/>
          </w:tcPr>
          <w:p>
            <w:r>
              <w:rPr>
                <w:rFonts w:ascii="Calibri" w:hAnsi="Calibri"/>
                <w:b/>
                <w:sz w:val="22"/>
              </w:rPr>
              <w:t>Sector / Sub-sector</w:t>
            </w:r>
          </w:p>
        </w:tc>
        <w:tc>
          <w:tcPr>
            <w:tcW w:type="dxa" w:w="4320"/>
          </w:tcPr>
          <w:p>
            <w:r>
              <w:rPr>
                <w:rFonts w:ascii="Calibri" w:hAnsi="Calibri"/>
                <w:sz w:val="22"/>
              </w:rPr>
              <w:t>Life Sciences — Contract Research Organization (CRO) / Healthcare Technology &amp; Analytics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leading indicators (EBP funding, RFP flow, backlog) are all pointing higher, and management raised EPS guidance last quarter — but the single biggest swing factor is whether the R&amp;DS book-to-bill rebounds convincingly above 1.0x after the pass-through-distorted 1.04x in Q1.</w:t>
      </w:r>
    </w:p>
    <w:p>
      <w:r>
        <w:rPr>
          <w:rFonts w:ascii="Calibri" w:hAnsi="Calibri"/>
          <w:color w:val="525866"/>
          <w:sz w:val="22"/>
        </w:rPr>
        <w:t xml:space="preserve">Heading into Q2 2026, IQVIA's setup is constructive: consensus expects revenue of ~$4.30B (+6.5% YoY) and adjusted diluted EPS of ~$3.03, both squarely within the guidance range management issued on May 5 ($4.28–$4.34B revenue; $2.98–$3.08 EPS), leaving the bar achievable but not stretched. Management's tone has been consistently more confident since Q3 2025, and the Q1 2026 print — where results exceeded the high end of guidance across every metric — reinforced that the demand trough is firmly behind the company; at the June 2026 Jefferies conference, CEO Ari Bousbib disclosed that April 2026 EBP funding was approximately triple April 2025 levels, providing the strongest leading-indicator signal yet for future R&amp;DS bookings. </w:t>
      </w:r>
      <w:r>
        <w:rPr>
          <w:rFonts w:ascii="Calibri" w:hAnsi="Calibri"/>
          <w:b/>
          <w:color w:val="525866"/>
          <w:sz w:val="22"/>
        </w:rPr>
        <w:t>Estimate revisions have been essentially flat since the Q1 print</w:t>
      </w:r>
      <w:r>
        <w:rPr>
          <w:rFonts w:ascii="Calibri" w:hAnsi="Calibri"/>
          <w:color w:val="525866"/>
          <w:sz w:val="22"/>
        </w:rPr>
        <w:t xml:space="preserve"> (Q2 consensus revenue moved only ~$4M lower vs. the post-Q1 baseline), suggesting the street is neither chasing the beat nor pricing in a miss — a neutral revision trajectory that leaves room for upside surprise. The stock has rallied ~21% since the Q1 earnings date (May 5) vs. ~2% for the S&amp;P 500 and ~13% for XBI, so some beat is priced in, but the multiple remains below historical averages and well below large-cap life-sciences peers, limiting downside if results are merely in-line. The key wildcard is the R&amp;DS book-to-bill: a clean read above 1.10x on a service-fee basis would validate the demand recovery narrative and likely drive further multiple re-rating, while a second consecutive sub-1.10x print — even if explained by pass-through mix — risks reigniting investor skepticism about the pace of the bookings recovery.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 revenue and EPS estimates sit at the midpoint of guidance, not above it. The bigger swing factor is R&amp;DS bookings: a book-to-bill above 1.10x on a service-fee basis would be the clearest signal that the demand recovery is durable, while NTM backlog revenue growth (guided to ~$8.95B) provides the revenue visibility anchor.</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$4.151B</w:t>
            </w:r>
          </w:p>
        </w:tc>
        <w:tc>
          <w:tcPr>
            <w:tcW w:type="dxa" w:w="1234"/>
          </w:tcPr>
          <w:p>
            <w:r>
              <w:rPr>
                <w:rFonts w:ascii="Calibri" w:hAnsi="Calibri"/>
                <w:sz w:val="22"/>
              </w:rPr>
              <w:t>$4.017B</w:t>
            </w:r>
          </w:p>
        </w:tc>
        <w:tc>
          <w:tcPr>
            <w:tcW w:type="dxa" w:w="1234"/>
          </w:tcPr>
          <w:p>
            <w:r>
              <w:rPr>
                <w:rFonts w:ascii="Calibri" w:hAnsi="Calibri"/>
                <w:sz w:val="22"/>
              </w:rPr>
              <w:t>$4.302B</w:t>
            </w:r>
          </w:p>
        </w:tc>
        <w:tc>
          <w:tcPr>
            <w:tcW w:type="dxa" w:w="1234"/>
          </w:tcPr>
          <w:p>
            <w:r>
              <w:rPr>
                <w:rFonts w:ascii="Calibri" w:hAnsi="Calibri"/>
                <w:sz w:val="22"/>
              </w:rPr>
              <w:t>+7.1%</w:t>
            </w:r>
          </w:p>
        </w:tc>
        <w:tc>
          <w:tcPr>
            <w:tcW w:type="dxa" w:w="1234"/>
          </w:tcPr>
          <w:p>
            <w:r>
              <w:rPr>
                <w:rFonts w:ascii="Calibri" w:hAnsi="Calibri"/>
                <w:sz w:val="22"/>
              </w:rPr>
              <w:t>$4.280–$4.340B (mid: $4.310B)</w:t>
            </w:r>
          </w:p>
        </w:tc>
        <w:tc>
          <w:tcPr>
            <w:tcW w:type="dxa" w:w="1234"/>
          </w:tcPr>
          <w:p>
            <w:r>
              <w:rPr>
                <w:rFonts w:ascii="Calibri" w:hAnsi="Calibri"/>
                <w:sz w:val="22"/>
              </w:rPr>
              <w:t>-0.2%</w:t>
            </w:r>
          </w:p>
        </w:tc>
      </w:tr>
      <w:tr>
        <w:tc>
          <w:tcPr>
            <w:tcW w:type="dxa" w:w="1234"/>
          </w:tcPr>
          <w:p>
            <w:r>
              <w:rPr>
                <w:rFonts w:ascii="Calibri" w:hAnsi="Calibri"/>
                <w:sz w:val="22"/>
              </w:rPr>
              <w:t>R&amp;D Solutions Revenue ($B)</w:t>
            </w:r>
          </w:p>
        </w:tc>
        <w:tc>
          <w:tcPr>
            <w:tcW w:type="dxa" w:w="1234"/>
          </w:tcPr>
          <w:p>
            <w:r>
              <w:rPr>
                <w:rFonts w:ascii="Calibri" w:hAnsi="Calibri"/>
                <w:sz w:val="22"/>
              </w:rPr>
              <w:t>$2.397B</w:t>
            </w:r>
          </w:p>
        </w:tc>
        <w:tc>
          <w:tcPr>
            <w:tcW w:type="dxa" w:w="1234"/>
          </w:tcPr>
          <w:p>
            <w:r>
              <w:rPr>
                <w:rFonts w:ascii="Calibri" w:hAnsi="Calibri"/>
                <w:sz w:val="22"/>
              </w:rPr>
              <w:t>$2.366B</w:t>
            </w:r>
          </w:p>
        </w:tc>
        <w:tc>
          <w:tcPr>
            <w:tcW w:type="dxa" w:w="1234"/>
          </w:tcPr>
          <w:p>
            <w:r>
              <w:rPr>
                <w:rFonts w:ascii="Calibri" w:hAnsi="Calibri"/>
                <w:sz w:val="22"/>
              </w:rPr>
              <w:t>$2.513B</w:t>
            </w:r>
          </w:p>
        </w:tc>
        <w:tc>
          <w:tcPr>
            <w:tcW w:type="dxa" w:w="1234"/>
          </w:tcPr>
          <w:p>
            <w:r>
              <w:rPr>
                <w:rFonts w:ascii="Calibri" w:hAnsi="Calibri"/>
                <w:sz w:val="22"/>
              </w:rPr>
              <w:t>+6.2%</w:t>
            </w:r>
          </w:p>
        </w:tc>
        <w:tc>
          <w:tcPr>
            <w:tcW w:type="dxa" w:w="1234"/>
          </w:tcPr>
          <w:p>
            <w:r>
              <w:rPr>
                <w:rFonts w:ascii="Calibri" w:hAnsi="Calibri"/>
                <w:sz w:val="22"/>
              </w:rPr>
              <w:t>Included in total guidance</w:t>
            </w:r>
          </w:p>
        </w:tc>
        <w:tc>
          <w:tcPr>
            <w:tcW w:type="dxa" w:w="1234"/>
          </w:tcPr>
          <w:p>
            <w:r>
              <w:rPr>
                <w:rFonts w:ascii="Calibri" w:hAnsi="Calibri"/>
                <w:sz w:val="22"/>
              </w:rPr>
              <w:t>N/A (segment not separately guided)</w:t>
            </w:r>
          </w:p>
        </w:tc>
      </w:tr>
      <w:tr>
        <w:tc>
          <w:tcPr>
            <w:tcW w:type="dxa" w:w="1234"/>
          </w:tcPr>
          <w:p>
            <w:r>
              <w:rPr>
                <w:rFonts w:ascii="Calibri" w:hAnsi="Calibri"/>
                <w:sz w:val="22"/>
              </w:rPr>
              <w:t>Technology &amp; Analytics Solutions Revenue ($B)</w:t>
            </w:r>
          </w:p>
        </w:tc>
        <w:tc>
          <w:tcPr>
            <w:tcW w:type="dxa" w:w="1234"/>
          </w:tcPr>
          <w:p>
            <w:r>
              <w:rPr>
                <w:rFonts w:ascii="Calibri" w:hAnsi="Calibri"/>
                <w:sz w:val="22"/>
              </w:rPr>
              <w:t>$1.680B</w:t>
            </w:r>
          </w:p>
        </w:tc>
        <w:tc>
          <w:tcPr>
            <w:tcW w:type="dxa" w:w="1234"/>
          </w:tcPr>
          <w:p>
            <w:r>
              <w:rPr>
                <w:rFonts w:ascii="Calibri" w:hAnsi="Calibri"/>
                <w:sz w:val="22"/>
              </w:rPr>
              <w:t>$1.628B</w:t>
            </w:r>
          </w:p>
        </w:tc>
        <w:tc>
          <w:tcPr>
            <w:tcW w:type="dxa" w:w="1234"/>
          </w:tcPr>
          <w:p>
            <w:r>
              <w:rPr>
                <w:rFonts w:ascii="Calibri" w:hAnsi="Calibri"/>
                <w:sz w:val="22"/>
              </w:rPr>
              <w:t>$1.755B</w:t>
            </w:r>
          </w:p>
        </w:tc>
        <w:tc>
          <w:tcPr>
            <w:tcW w:type="dxa" w:w="1234"/>
          </w:tcPr>
          <w:p>
            <w:r>
              <w:rPr>
                <w:rFonts w:ascii="Calibri" w:hAnsi="Calibri"/>
                <w:sz w:val="22"/>
              </w:rPr>
              <w:t>+7.8%</w:t>
            </w:r>
          </w:p>
        </w:tc>
        <w:tc>
          <w:tcPr>
            <w:tcW w:type="dxa" w:w="1234"/>
          </w:tcPr>
          <w:p>
            <w:r>
              <w:rPr>
                <w:rFonts w:ascii="Calibri" w:hAnsi="Calibri"/>
                <w:sz w:val="22"/>
              </w:rPr>
              <w:t>Included in total guidance</w:t>
            </w:r>
          </w:p>
        </w:tc>
        <w:tc>
          <w:tcPr>
            <w:tcW w:type="dxa" w:w="1234"/>
          </w:tcPr>
          <w:p>
            <w:r>
              <w:rPr>
                <w:rFonts w:ascii="Calibri" w:hAnsi="Calibri"/>
                <w:sz w:val="22"/>
              </w:rPr>
              <w:t>N/A (segment not separately guided)</w:t>
            </w:r>
          </w:p>
        </w:tc>
      </w:tr>
      <w:tr>
        <w:tc>
          <w:tcPr>
            <w:tcW w:type="dxa" w:w="1234"/>
          </w:tcPr>
          <w:p>
            <w:r>
              <w:rPr>
                <w:rFonts w:ascii="Calibri" w:hAnsi="Calibri"/>
                <w:sz w:val="22"/>
              </w:rPr>
              <w:t>Adjusted EBITDA ($M)</w:t>
            </w:r>
          </w:p>
        </w:tc>
        <w:tc>
          <w:tcPr>
            <w:tcW w:type="dxa" w:w="1234"/>
          </w:tcPr>
          <w:p>
            <w:r>
              <w:rPr>
                <w:rFonts w:ascii="Calibri" w:hAnsi="Calibri"/>
                <w:sz w:val="22"/>
              </w:rPr>
              <w:t>$932M</w:t>
            </w:r>
          </w:p>
        </w:tc>
        <w:tc>
          <w:tcPr>
            <w:tcW w:type="dxa" w:w="1234"/>
          </w:tcPr>
          <w:p>
            <w:r>
              <w:rPr>
                <w:rFonts w:ascii="Calibri" w:hAnsi="Calibri"/>
                <w:sz w:val="22"/>
              </w:rPr>
              <w:t>$910M</w:t>
            </w:r>
          </w:p>
        </w:tc>
        <w:tc>
          <w:tcPr>
            <w:tcW w:type="dxa" w:w="1234"/>
          </w:tcPr>
          <w:p>
            <w:r>
              <w:rPr>
                <w:rFonts w:ascii="Calibri" w:hAnsi="Calibri"/>
                <w:sz w:val="22"/>
              </w:rPr>
              <w:t>$967M</w:t>
            </w:r>
          </w:p>
        </w:tc>
        <w:tc>
          <w:tcPr>
            <w:tcW w:type="dxa" w:w="1234"/>
          </w:tcPr>
          <w:p>
            <w:r>
              <w:rPr>
                <w:rFonts w:ascii="Calibri" w:hAnsi="Calibri"/>
                <w:sz w:val="22"/>
              </w:rPr>
              <w:t>+6.2%</w:t>
            </w:r>
          </w:p>
        </w:tc>
        <w:tc>
          <w:tcPr>
            <w:tcW w:type="dxa" w:w="1234"/>
          </w:tcPr>
          <w:p>
            <w:r>
              <w:rPr>
                <w:rFonts w:ascii="Calibri" w:hAnsi="Calibri"/>
                <w:sz w:val="22"/>
              </w:rPr>
              <w:t>$955–$975M (mid: $965M)</w:t>
            </w:r>
          </w:p>
        </w:tc>
        <w:tc>
          <w:tcPr>
            <w:tcW w:type="dxa" w:w="1234"/>
          </w:tcPr>
          <w:p>
            <w:r>
              <w:rPr>
                <w:rFonts w:ascii="Calibri" w:hAnsi="Calibri"/>
                <w:sz w:val="22"/>
              </w:rPr>
              <w:t>+0.2%</w:t>
            </w:r>
          </w:p>
        </w:tc>
      </w:tr>
      <w:tr>
        <w:tc>
          <w:tcPr>
            <w:tcW w:type="dxa" w:w="1234"/>
          </w:tcPr>
          <w:p>
            <w:r>
              <w:rPr>
                <w:rFonts w:ascii="Calibri" w:hAnsi="Calibri"/>
                <w:sz w:val="22"/>
              </w:rPr>
              <w:t>Adj. Diluted EPS (Operating)</w:t>
            </w:r>
          </w:p>
        </w:tc>
        <w:tc>
          <w:tcPr>
            <w:tcW w:type="dxa" w:w="1234"/>
          </w:tcPr>
          <w:p>
            <w:r>
              <w:rPr>
                <w:rFonts w:ascii="Calibri" w:hAnsi="Calibri"/>
                <w:sz w:val="22"/>
              </w:rPr>
              <w:t>$2.90</w:t>
            </w:r>
          </w:p>
        </w:tc>
        <w:tc>
          <w:tcPr>
            <w:tcW w:type="dxa" w:w="1234"/>
          </w:tcPr>
          <w:p>
            <w:r>
              <w:rPr>
                <w:rFonts w:ascii="Calibri" w:hAnsi="Calibri"/>
                <w:sz w:val="22"/>
              </w:rPr>
              <w:t>$2.81</w:t>
            </w:r>
          </w:p>
        </w:tc>
        <w:tc>
          <w:tcPr>
            <w:tcW w:type="dxa" w:w="1234"/>
          </w:tcPr>
          <w:p>
            <w:r>
              <w:rPr>
                <w:rFonts w:ascii="Calibri" w:hAnsi="Calibri"/>
                <w:sz w:val="22"/>
              </w:rPr>
              <w:t>$3.03</w:t>
            </w:r>
          </w:p>
        </w:tc>
        <w:tc>
          <w:tcPr>
            <w:tcW w:type="dxa" w:w="1234"/>
          </w:tcPr>
          <w:p>
            <w:r>
              <w:rPr>
                <w:rFonts w:ascii="Calibri" w:hAnsi="Calibri"/>
                <w:sz w:val="22"/>
              </w:rPr>
              <w:t>+7.8%</w:t>
            </w:r>
          </w:p>
        </w:tc>
        <w:tc>
          <w:tcPr>
            <w:tcW w:type="dxa" w:w="1234"/>
          </w:tcPr>
          <w:p>
            <w:r>
              <w:rPr>
                <w:rFonts w:ascii="Calibri" w:hAnsi="Calibri"/>
                <w:sz w:val="22"/>
              </w:rPr>
              <w:t>$2.98–$3.08 (mid: $3.03)</w:t>
            </w:r>
          </w:p>
        </w:tc>
        <w:tc>
          <w:tcPr>
            <w:tcW w:type="dxa" w:w="1234"/>
          </w:tcPr>
          <w:p>
            <w:r>
              <w:rPr>
                <w:rFonts w:ascii="Calibri" w:hAnsi="Calibri"/>
                <w:sz w:val="22"/>
              </w:rPr>
              <w:t>0.0%</w:t>
            </w:r>
          </w:p>
        </w:tc>
      </w:tr>
      <w:tr>
        <w:tc>
          <w:tcPr>
            <w:tcW w:type="dxa" w:w="1234"/>
          </w:tcPr>
          <w:p>
            <w:r>
              <w:rPr>
                <w:rFonts w:ascii="Calibri" w:hAnsi="Calibri"/>
                <w:sz w:val="22"/>
              </w:rPr>
              <w:t>R&amp;DS Net New Bookings ($B)</w:t>
            </w:r>
          </w:p>
        </w:tc>
        <w:tc>
          <w:tcPr>
            <w:tcW w:type="dxa" w:w="1234"/>
          </w:tcPr>
          <w:p>
            <w:r>
              <w:rPr>
                <w:rFonts w:ascii="Calibri" w:hAnsi="Calibri"/>
                <w:sz w:val="22"/>
              </w:rPr>
              <w:t>$2.737B</w:t>
            </w:r>
          </w:p>
        </w:tc>
        <w:tc>
          <w:tcPr>
            <w:tcW w:type="dxa" w:w="1234"/>
          </w:tcPr>
          <w:p>
            <w:r>
              <w:rPr>
                <w:rFonts w:ascii="Calibri" w:hAnsi="Calibri"/>
                <w:sz w:val="22"/>
              </w:rPr>
              <w:t>$2.653B</w:t>
            </w:r>
          </w:p>
        </w:tc>
        <w:tc>
          <w:tcPr>
            <w:tcW w:type="dxa" w:w="1234"/>
          </w:tcPr>
          <w:p>
            <w:r>
              <w:rPr>
                <w:rFonts w:ascii="Calibri" w:hAnsi="Calibri"/>
                <w:sz w:val="22"/>
              </w:rPr>
              <w:t>$2.720B</w:t>
            </w:r>
          </w:p>
        </w:tc>
        <w:tc>
          <w:tcPr>
            <w:tcW w:type="dxa" w:w="1234"/>
          </w:tcPr>
          <w:p>
            <w:r>
              <w:rPr>
                <w:rFonts w:ascii="Calibri" w:hAnsi="Calibri"/>
                <w:sz w:val="22"/>
              </w:rPr>
              <w:t>+2.5%</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R&amp;DS Net Book-to-Bill (x)</w:t>
            </w:r>
          </w:p>
        </w:tc>
        <w:tc>
          <w:tcPr>
            <w:tcW w:type="dxa" w:w="1234"/>
          </w:tcPr>
          <w:p>
            <w:r>
              <w:rPr>
                <w:rFonts w:ascii="Calibri" w:hAnsi="Calibri"/>
                <w:sz w:val="22"/>
              </w:rPr>
              <w:t>1.04x</w:t>
            </w:r>
          </w:p>
        </w:tc>
        <w:tc>
          <w:tcPr>
            <w:tcW w:type="dxa" w:w="1234"/>
          </w:tcPr>
          <w:p>
            <w:r>
              <w:rPr>
                <w:rFonts w:ascii="Calibri" w:hAnsi="Calibri"/>
                <w:sz w:val="22"/>
              </w:rPr>
              <w:t>1.12x</w:t>
            </w:r>
          </w:p>
        </w:tc>
        <w:tc>
          <w:tcPr>
            <w:tcW w:type="dxa" w:w="1234"/>
          </w:tcPr>
          <w:p>
            <w:r>
              <w:rPr>
                <w:rFonts w:ascii="Calibri" w:hAnsi="Calibri"/>
                <w:sz w:val="22"/>
              </w:rPr>
              <w:t>1.08x</w:t>
            </w:r>
          </w:p>
        </w:tc>
        <w:tc>
          <w:tcPr>
            <w:tcW w:type="dxa" w:w="1234"/>
          </w:tcPr>
          <w:p>
            <w:r>
              <w:rPr>
                <w:rFonts w:ascii="Calibri" w:hAnsi="Calibri"/>
                <w:sz w:val="22"/>
              </w:rPr>
              <w:t>-0.04x</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Total R&amp;DS Backlog ($B)</w:t>
            </w:r>
          </w:p>
        </w:tc>
        <w:tc>
          <w:tcPr>
            <w:tcW w:type="dxa" w:w="1234"/>
          </w:tcPr>
          <w:p>
            <w:r>
              <w:rPr>
                <w:rFonts w:ascii="Calibri" w:hAnsi="Calibri"/>
                <w:sz w:val="22"/>
              </w:rPr>
              <w:t>$34.2B</w:t>
            </w:r>
          </w:p>
        </w:tc>
        <w:tc>
          <w:tcPr>
            <w:tcW w:type="dxa" w:w="1234"/>
          </w:tcPr>
          <w:p>
            <w:r>
              <w:rPr>
                <w:rFonts w:ascii="Calibri" w:hAnsi="Calibri"/>
                <w:sz w:val="22"/>
              </w:rPr>
              <w:t>$32.1B</w:t>
            </w:r>
          </w:p>
        </w:tc>
        <w:tc>
          <w:tcPr>
            <w:tcW w:type="dxa" w:w="1234"/>
          </w:tcPr>
          <w:p>
            <w:r>
              <w:rPr>
                <w:rFonts w:ascii="Calibri" w:hAnsi="Calibri"/>
                <w:sz w:val="22"/>
              </w:rPr>
              <w:t>$34.5B</w:t>
            </w:r>
          </w:p>
        </w:tc>
        <w:tc>
          <w:tcPr>
            <w:tcW w:type="dxa" w:w="1234"/>
          </w:tcPr>
          <w:p>
            <w:r>
              <w:rPr>
                <w:rFonts w:ascii="Calibri" w:hAnsi="Calibri"/>
                <w:sz w:val="22"/>
              </w:rPr>
              <w:t>+7.5%</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NTM Backlog Revenue ($B)</w:t>
            </w:r>
          </w:p>
        </w:tc>
        <w:tc>
          <w:tcPr>
            <w:tcW w:type="dxa" w:w="1234"/>
          </w:tcPr>
          <w:p>
            <w:r>
              <w:rPr>
                <w:rFonts w:ascii="Calibri" w:hAnsi="Calibri"/>
                <w:sz w:val="22"/>
              </w:rPr>
              <w:t>$8.9B</w:t>
            </w:r>
          </w:p>
        </w:tc>
        <w:tc>
          <w:tcPr>
            <w:tcW w:type="dxa" w:w="1234"/>
          </w:tcPr>
          <w:p>
            <w:r>
              <w:rPr>
                <w:rFonts w:ascii="Calibri" w:hAnsi="Calibri"/>
                <w:sz w:val="22"/>
              </w:rPr>
              <w:t>$8.1B</w:t>
            </w:r>
          </w:p>
        </w:tc>
        <w:tc>
          <w:tcPr>
            <w:tcW w:type="dxa" w:w="1234"/>
          </w:tcPr>
          <w:p>
            <w:r>
              <w:rPr>
                <w:rFonts w:ascii="Calibri" w:hAnsi="Calibri"/>
                <w:sz w:val="22"/>
              </w:rPr>
              <w:t>$8.95B</w:t>
            </w:r>
          </w:p>
        </w:tc>
        <w:tc>
          <w:tcPr>
            <w:tcW w:type="dxa" w:w="1234"/>
          </w:tcPr>
          <w:p>
            <w:r>
              <w:rPr>
                <w:rFonts w:ascii="Calibri" w:hAnsi="Calibri"/>
                <w:sz w:val="22"/>
              </w:rPr>
              <w:t>+10.5%</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Analyst Free Cash Flow ($M)</w:t>
            </w:r>
          </w:p>
        </w:tc>
        <w:tc>
          <w:tcPr>
            <w:tcW w:type="dxa" w:w="1234"/>
          </w:tcPr>
          <w:p>
            <w:r>
              <w:rPr>
                <w:rFonts w:ascii="Calibri" w:hAnsi="Calibri"/>
                <w:sz w:val="22"/>
              </w:rPr>
              <w:t>$491M</w:t>
            </w:r>
          </w:p>
        </w:tc>
        <w:tc>
          <w:tcPr>
            <w:tcW w:type="dxa" w:w="1234"/>
          </w:tcPr>
          <w:p>
            <w:r>
              <w:rPr>
                <w:rFonts w:ascii="Calibri" w:hAnsi="Calibri"/>
                <w:sz w:val="22"/>
              </w:rPr>
              <w:t>$292M</w:t>
            </w:r>
          </w:p>
        </w:tc>
        <w:tc>
          <w:tcPr>
            <w:tcW w:type="dxa" w:w="1234"/>
          </w:tcPr>
          <w:p>
            <w:r>
              <w:rPr>
                <w:rFonts w:ascii="Calibri" w:hAnsi="Calibri"/>
                <w:sz w:val="22"/>
              </w:rPr>
              <w:t>$387M</w:t>
            </w:r>
          </w:p>
        </w:tc>
        <w:tc>
          <w:tcPr>
            <w:tcW w:type="dxa" w:w="1234"/>
          </w:tcPr>
          <w:p>
            <w:r>
              <w:rPr>
                <w:rFonts w:ascii="Calibri" w:hAnsi="Calibri"/>
                <w:sz w:val="22"/>
              </w:rPr>
              <w:t>+32.5%</w:t>
            </w:r>
          </w:p>
        </w:tc>
        <w:tc>
          <w:tcPr>
            <w:tcW w:type="dxa" w:w="1234"/>
          </w:tcPr>
          <w:p>
            <w:r>
              <w:rPr>
                <w:rFonts w:ascii="Calibri" w:hAnsi="Calibri"/>
                <w:sz w:val="22"/>
              </w:rPr>
              <w:t>Not explicitly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from IQVIA Q1 2026 earnings call (May 5, 2026). Consensus vs. guidance midpoint calculated as (consensus − guidance midpoint) / guidance midpoint.</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$4.151B</w:t>
            </w:r>
          </w:p>
        </w:tc>
        <w:tc>
          <w:tcPr>
            <w:tcW w:type="dxa" w:w="1440"/>
          </w:tcPr>
          <w:p>
            <w:r>
              <w:rPr>
                <w:rFonts w:ascii="Calibri" w:hAnsi="Calibri"/>
                <w:sz w:val="22"/>
              </w:rPr>
              <w:t>$4.104B</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Diluted EPS</w:t>
            </w:r>
          </w:p>
        </w:tc>
        <w:tc>
          <w:tcPr>
            <w:tcW w:type="dxa" w:w="1440"/>
          </w:tcPr>
          <w:p>
            <w:r>
              <w:rPr>
                <w:rFonts w:ascii="Calibri" w:hAnsi="Calibri"/>
                <w:sz w:val="22"/>
              </w:rPr>
              <w:t>$2.90</w:t>
            </w:r>
          </w:p>
        </w:tc>
        <w:tc>
          <w:tcPr>
            <w:tcW w:type="dxa" w:w="1440"/>
          </w:tcPr>
          <w:p>
            <w:r>
              <w:rPr>
                <w:rFonts w:ascii="Calibri" w:hAnsi="Calibri"/>
                <w:sz w:val="22"/>
              </w:rPr>
              <w:t>$2.82</w:t>
            </w:r>
          </w:p>
        </w:tc>
        <w:tc>
          <w:tcPr>
            <w:tcW w:type="dxa" w:w="1440"/>
          </w:tcPr>
          <w:p>
            <w:r>
              <w:rPr>
                <w:rFonts w:ascii="Calibri" w:hAnsi="Calibri"/>
                <w:b/>
                <w:color w:val="30A46C"/>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$4.364B</w:t>
            </w:r>
          </w:p>
        </w:tc>
        <w:tc>
          <w:tcPr>
            <w:tcW w:type="dxa" w:w="1440"/>
          </w:tcPr>
          <w:p>
            <w:r>
              <w:rPr>
                <w:rFonts w:ascii="Calibri" w:hAnsi="Calibri"/>
                <w:sz w:val="22"/>
              </w:rPr>
              <w:t>$4.240B</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Diluted EPS</w:t>
            </w:r>
          </w:p>
        </w:tc>
        <w:tc>
          <w:tcPr>
            <w:tcW w:type="dxa" w:w="1440"/>
          </w:tcPr>
          <w:p>
            <w:r>
              <w:rPr>
                <w:rFonts w:ascii="Calibri" w:hAnsi="Calibri"/>
                <w:sz w:val="22"/>
              </w:rPr>
              <w:t>$3.42</w:t>
            </w:r>
          </w:p>
        </w:tc>
        <w:tc>
          <w:tcPr>
            <w:tcW w:type="dxa" w:w="1440"/>
          </w:tcPr>
          <w:p>
            <w:r>
              <w:rPr>
                <w:rFonts w:ascii="Calibri" w:hAnsi="Calibri"/>
                <w:sz w:val="22"/>
              </w:rPr>
              <w:t>$3.40</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$4.100B</w:t>
            </w:r>
          </w:p>
        </w:tc>
        <w:tc>
          <w:tcPr>
            <w:tcW w:type="dxa" w:w="1440"/>
          </w:tcPr>
          <w:p>
            <w:r>
              <w:rPr>
                <w:rFonts w:ascii="Calibri" w:hAnsi="Calibri"/>
                <w:sz w:val="22"/>
              </w:rPr>
              <w:t>$4.078B</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Diluted EPS</w:t>
            </w:r>
          </w:p>
        </w:tc>
        <w:tc>
          <w:tcPr>
            <w:tcW w:type="dxa" w:w="1440"/>
          </w:tcPr>
          <w:p>
            <w:r>
              <w:rPr>
                <w:rFonts w:ascii="Calibri" w:hAnsi="Calibri"/>
                <w:sz w:val="22"/>
              </w:rPr>
              <w:t>$3.00</w:t>
            </w:r>
          </w:p>
        </w:tc>
        <w:tc>
          <w:tcPr>
            <w:tcW w:type="dxa" w:w="1440"/>
          </w:tcPr>
          <w:p>
            <w:r>
              <w:rPr>
                <w:rFonts w:ascii="Calibri" w:hAnsi="Calibri"/>
                <w:sz w:val="22"/>
              </w:rPr>
              <w:t>$2.98</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$4.017B</w:t>
            </w:r>
          </w:p>
        </w:tc>
        <w:tc>
          <w:tcPr>
            <w:tcW w:type="dxa" w:w="1440"/>
          </w:tcPr>
          <w:p>
            <w:r>
              <w:rPr>
                <w:rFonts w:ascii="Calibri" w:hAnsi="Calibri"/>
                <w:sz w:val="22"/>
              </w:rPr>
              <w:t>$3.969B</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Diluted EPS</w:t>
            </w:r>
          </w:p>
        </w:tc>
        <w:tc>
          <w:tcPr>
            <w:tcW w:type="dxa" w:w="1440"/>
          </w:tcPr>
          <w:p>
            <w:r>
              <w:rPr>
                <w:rFonts w:ascii="Calibri" w:hAnsi="Calibri"/>
                <w:sz w:val="22"/>
              </w:rPr>
              <w:t>$2.81</w:t>
            </w:r>
          </w:p>
        </w:tc>
        <w:tc>
          <w:tcPr>
            <w:tcW w:type="dxa" w:w="1440"/>
          </w:tcPr>
          <w:p>
            <w:r>
              <w:rPr>
                <w:rFonts w:ascii="Calibri" w:hAnsi="Calibri"/>
                <w:sz w:val="22"/>
              </w:rPr>
              <w:t>$2.79</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$3.829B</w:t>
            </w:r>
          </w:p>
        </w:tc>
        <w:tc>
          <w:tcPr>
            <w:tcW w:type="dxa" w:w="1440"/>
          </w:tcPr>
          <w:p>
            <w:r>
              <w:rPr>
                <w:rFonts w:ascii="Calibri" w:hAnsi="Calibri"/>
                <w:sz w:val="22"/>
              </w:rPr>
              <w:t>$3.772B</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Diluted EPS</w:t>
            </w:r>
          </w:p>
        </w:tc>
        <w:tc>
          <w:tcPr>
            <w:tcW w:type="dxa" w:w="1440"/>
          </w:tcPr>
          <w:p>
            <w:r>
              <w:rPr>
                <w:rFonts w:ascii="Calibri" w:hAnsi="Calibri"/>
                <w:sz w:val="22"/>
              </w:rPr>
              <w:t>$2.70</w:t>
            </w:r>
          </w:p>
        </w:tc>
        <w:tc>
          <w:tcPr>
            <w:tcW w:type="dxa" w:w="1440"/>
          </w:tcPr>
          <w:p>
            <w:r>
              <w:rPr>
                <w:rFonts w:ascii="Calibri" w:hAnsi="Calibri"/>
                <w:sz w:val="22"/>
              </w:rPr>
              <w:t>$2.63</w:t>
            </w:r>
          </w:p>
        </w:tc>
        <w:tc>
          <w:tcPr>
            <w:tcW w:type="dxa" w:w="1440"/>
          </w:tcPr>
          <w:p>
            <w:r>
              <w:rPr>
                <w:rFonts w:ascii="Calibri" w:hAnsi="Calibri"/>
                <w:b/>
                <w:color w:val="30A46C"/>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$3.958B</w:t>
            </w:r>
          </w:p>
        </w:tc>
        <w:tc>
          <w:tcPr>
            <w:tcW w:type="dxa" w:w="1440"/>
          </w:tcPr>
          <w:p>
            <w:r>
              <w:rPr>
                <w:rFonts w:ascii="Calibri" w:hAnsi="Calibri"/>
                <w:sz w:val="22"/>
              </w:rPr>
              <w:t>$3.934B</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Diluted EPS</w:t>
            </w:r>
          </w:p>
        </w:tc>
        <w:tc>
          <w:tcPr>
            <w:tcW w:type="dxa" w:w="1440"/>
          </w:tcPr>
          <w:p>
            <w:r>
              <w:rPr>
                <w:rFonts w:ascii="Calibri" w:hAnsi="Calibri"/>
                <w:sz w:val="22"/>
              </w:rPr>
              <w:t>$3.12</w:t>
            </w:r>
          </w:p>
        </w:tc>
        <w:tc>
          <w:tcPr>
            <w:tcW w:type="dxa" w:w="1440"/>
          </w:tcPr>
          <w:p>
            <w:r>
              <w:rPr>
                <w:rFonts w:ascii="Calibri" w:hAnsi="Calibri"/>
                <w:sz w:val="22"/>
              </w:rPr>
              <w:t>$3.09</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$3.896B</w:t>
            </w:r>
          </w:p>
        </w:tc>
        <w:tc>
          <w:tcPr>
            <w:tcW w:type="dxa" w:w="1440"/>
          </w:tcPr>
          <w:p>
            <w:r>
              <w:rPr>
                <w:rFonts w:ascii="Calibri" w:hAnsi="Calibri"/>
                <w:sz w:val="22"/>
              </w:rPr>
              <w:t>$3.857B</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Diluted EPS</w:t>
            </w:r>
          </w:p>
        </w:tc>
        <w:tc>
          <w:tcPr>
            <w:tcW w:type="dxa" w:w="1440"/>
          </w:tcPr>
          <w:p>
            <w:r>
              <w:rPr>
                <w:rFonts w:ascii="Calibri" w:hAnsi="Calibri"/>
                <w:sz w:val="22"/>
              </w:rPr>
              <w:t>$2.84</w:t>
            </w:r>
          </w:p>
        </w:tc>
        <w:tc>
          <w:tcPr>
            <w:tcW w:type="dxa" w:w="1440"/>
          </w:tcPr>
          <w:p>
            <w:r>
              <w:rPr>
                <w:rFonts w:ascii="Calibri" w:hAnsi="Calibri"/>
                <w:sz w:val="22"/>
              </w:rPr>
              <w:t>$2.81</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$3.814B</w:t>
            </w:r>
          </w:p>
        </w:tc>
        <w:tc>
          <w:tcPr>
            <w:tcW w:type="dxa" w:w="1440"/>
          </w:tcPr>
          <w:p>
            <w:r>
              <w:rPr>
                <w:rFonts w:ascii="Calibri" w:hAnsi="Calibri"/>
                <w:sz w:val="22"/>
              </w:rPr>
              <w:t>$3.788B</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Diluted EPS</w:t>
            </w:r>
          </w:p>
        </w:tc>
        <w:tc>
          <w:tcPr>
            <w:tcW w:type="dxa" w:w="1440"/>
          </w:tcPr>
          <w:p>
            <w:r>
              <w:rPr>
                <w:rFonts w:ascii="Calibri" w:hAnsi="Calibri"/>
                <w:sz w:val="22"/>
              </w:rPr>
              <w:t>$2.64</w:t>
            </w:r>
          </w:p>
        </w:tc>
        <w:tc>
          <w:tcPr>
            <w:tcW w:type="dxa" w:w="1440"/>
          </w:tcPr>
          <w:p>
            <w:r>
              <w:rPr>
                <w:rFonts w:ascii="Calibri" w:hAnsi="Calibri"/>
                <w:sz w:val="22"/>
              </w:rPr>
              <w:t>$2.57</w:t>
            </w:r>
          </w:p>
        </w:tc>
        <w:tc>
          <w:tcPr>
            <w:tcW w:type="dxa" w:w="1440"/>
          </w:tcPr>
          <w:p>
            <w:r>
              <w:rPr>
                <w:rFonts w:ascii="Calibri" w:hAnsi="Calibri"/>
                <w:b/>
                <w:color w:val="30A46C"/>
                <w:sz w:val="22"/>
              </w:rPr>
              <w:t>+2.7%</w:t>
            </w:r>
          </w:p>
        </w:tc>
        <w:tc>
          <w:tcPr>
            <w:tcW w:type="dxa" w:w="1440"/>
          </w:tcPr>
          <w:p>
            <w:r>
              <w:rPr>
                <w:rFonts w:ascii="Calibri" w:hAnsi="Calibri"/>
                <w:b/>
                <w:color w:val="30A46C"/>
                <w:sz w:val="22"/>
              </w:rPr>
              <w:t>Beat</w:t>
            </w:r>
          </w:p>
        </w:tc>
      </w:tr>
    </w:tbl>
    <w:p>
      <w:r>
        <w:rPr>
          <w:rFonts w:ascii="Calibri" w:hAnsi="Calibri"/>
          <w:i/>
          <w:color w:val="525866"/>
          <w:sz w:val="22"/>
        </w:rPr>
        <w:t>IQV has beaten consensus on both revenue and adjusted EPS in each of the last 8 quarters, with revenue beats consistently in the +0.5%–2.9% range and EPS beats in the +0.5%–2.8% range — a pattern of modest but reliable outperformance that reflects management's conservative guidance philosophy.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revenue and EBITDA guidance was reaffirmed at Q1 earnings (May 5), while adjusted EPS guidance was raised — the only post-earnings update was a $2B incremental share repurchase authorization (May 7 8-K) and a €950M senior notes issuance (June 11 8-K). Management tone has shifted from cautiously optimistic to genuinely surprised by the strength of demand, with the June Jefferies conference adding a materially positive EBP funding data point.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$4.280B – $4.340B</w:t>
            </w:r>
          </w:p>
        </w:tc>
        <w:tc>
          <w:tcPr>
            <w:tcW w:type="dxa" w:w="1728"/>
          </w:tcPr>
          <w:p>
            <w:r>
              <w:rPr>
                <w:rFonts w:ascii="Calibri" w:hAnsi="Calibri"/>
                <w:sz w:val="22"/>
              </w:rPr>
              <w:t>—</w:t>
            </w:r>
          </w:p>
        </w:tc>
        <w:tc>
          <w:tcPr>
            <w:tcW w:type="dxa" w:w="1728"/>
          </w:tcPr>
          <w:p>
            <w:r>
              <w:rPr>
                <w:rFonts w:ascii="Calibri" w:hAnsi="Calibri"/>
                <w:sz w:val="22"/>
              </w:rPr>
              <w:t>$4.302B</w:t>
            </w:r>
          </w:p>
        </w:tc>
        <w:tc>
          <w:tcPr>
            <w:tcW w:type="dxa" w:w="1728"/>
          </w:tcPr>
          <w:p>
            <w:r>
              <w:rPr>
                <w:rFonts w:ascii="Calibri" w:hAnsi="Calibri"/>
                <w:sz w:val="22"/>
              </w:rPr>
              <w:t>Unchanged; consensus at midpoint</w:t>
            </w:r>
          </w:p>
        </w:tc>
      </w:tr>
      <w:tr>
        <w:tc>
          <w:tcPr>
            <w:tcW w:type="dxa" w:w="1728"/>
          </w:tcPr>
          <w:p>
            <w:r>
              <w:rPr>
                <w:rFonts w:ascii="Calibri" w:hAnsi="Calibri"/>
                <w:sz w:val="22"/>
              </w:rPr>
              <w:t>Q2 2026 Adj. EBITDA</w:t>
            </w:r>
          </w:p>
        </w:tc>
        <w:tc>
          <w:tcPr>
            <w:tcW w:type="dxa" w:w="1728"/>
          </w:tcPr>
          <w:p>
            <w:r>
              <w:rPr>
                <w:rFonts w:ascii="Calibri" w:hAnsi="Calibri"/>
                <w:sz w:val="22"/>
              </w:rPr>
              <w:t>$955M – $975M</w:t>
            </w:r>
          </w:p>
        </w:tc>
        <w:tc>
          <w:tcPr>
            <w:tcW w:type="dxa" w:w="1728"/>
          </w:tcPr>
          <w:p>
            <w:r>
              <w:rPr>
                <w:rFonts w:ascii="Calibri" w:hAnsi="Calibri"/>
                <w:sz w:val="22"/>
              </w:rPr>
              <w:t>—</w:t>
            </w:r>
          </w:p>
        </w:tc>
        <w:tc>
          <w:tcPr>
            <w:tcW w:type="dxa" w:w="1728"/>
          </w:tcPr>
          <w:p>
            <w:r>
              <w:rPr>
                <w:rFonts w:ascii="Calibri" w:hAnsi="Calibri"/>
                <w:sz w:val="22"/>
              </w:rPr>
              <w:t>$967M</w:t>
            </w:r>
          </w:p>
        </w:tc>
        <w:tc>
          <w:tcPr>
            <w:tcW w:type="dxa" w:w="1728"/>
          </w:tcPr>
          <w:p>
            <w:r>
              <w:rPr>
                <w:rFonts w:ascii="Calibri" w:hAnsi="Calibri"/>
                <w:sz w:val="22"/>
              </w:rPr>
              <w:t>Unchanged; consensus near midpoint</w:t>
            </w:r>
          </w:p>
        </w:tc>
      </w:tr>
      <w:tr>
        <w:tc>
          <w:tcPr>
            <w:tcW w:type="dxa" w:w="1728"/>
          </w:tcPr>
          <w:p>
            <w:r>
              <w:rPr>
                <w:rFonts w:ascii="Calibri" w:hAnsi="Calibri"/>
                <w:sz w:val="22"/>
              </w:rPr>
              <w:t>Q2 2026 Adj. Diluted EPS</w:t>
            </w:r>
          </w:p>
        </w:tc>
        <w:tc>
          <w:tcPr>
            <w:tcW w:type="dxa" w:w="1728"/>
          </w:tcPr>
          <w:p>
            <w:r>
              <w:rPr>
                <w:rFonts w:ascii="Calibri" w:hAnsi="Calibri"/>
                <w:sz w:val="22"/>
              </w:rPr>
              <w:t>$2.98 – $3.08</w:t>
            </w:r>
          </w:p>
        </w:tc>
        <w:tc>
          <w:tcPr>
            <w:tcW w:type="dxa" w:w="1728"/>
          </w:tcPr>
          <w:p>
            <w:r>
              <w:rPr>
                <w:rFonts w:ascii="Calibri" w:hAnsi="Calibri"/>
                <w:sz w:val="22"/>
              </w:rPr>
              <w:t>—</w:t>
            </w:r>
          </w:p>
        </w:tc>
        <w:tc>
          <w:tcPr>
            <w:tcW w:type="dxa" w:w="1728"/>
          </w:tcPr>
          <w:p>
            <w:r>
              <w:rPr>
                <w:rFonts w:ascii="Calibri" w:hAnsi="Calibri"/>
                <w:sz w:val="22"/>
              </w:rPr>
              <w:t>$3.03</w:t>
            </w:r>
          </w:p>
        </w:tc>
        <w:tc>
          <w:tcPr>
            <w:tcW w:type="dxa" w:w="1728"/>
          </w:tcPr>
          <w:p>
            <w:r>
              <w:rPr>
                <w:rFonts w:ascii="Calibri" w:hAnsi="Calibri"/>
                <w:sz w:val="22"/>
              </w:rPr>
              <w:t>Unchanged; consensus at midpoint</w:t>
            </w:r>
          </w:p>
        </w:tc>
      </w:tr>
      <w:tr>
        <w:tc>
          <w:tcPr>
            <w:tcW w:type="dxa" w:w="1728"/>
          </w:tcPr>
          <w:p>
            <w:r>
              <w:rPr>
                <w:rFonts w:ascii="Calibri" w:hAnsi="Calibri"/>
                <w:sz w:val="22"/>
              </w:rPr>
              <w:t>FY 2026 Revenue</w:t>
            </w:r>
          </w:p>
        </w:tc>
        <w:tc>
          <w:tcPr>
            <w:tcW w:type="dxa" w:w="1728"/>
          </w:tcPr>
          <w:p>
            <w:r>
              <w:rPr>
                <w:rFonts w:ascii="Calibri" w:hAnsi="Calibri"/>
                <w:sz w:val="22"/>
              </w:rPr>
              <w:t>$17.150B – $17.350B (reaffirmed)</w:t>
            </w:r>
          </w:p>
        </w:tc>
        <w:tc>
          <w:tcPr>
            <w:tcW w:type="dxa" w:w="1728"/>
          </w:tcPr>
          <w:p>
            <w:r>
              <w:rPr>
                <w:rFonts w:ascii="Calibri" w:hAnsi="Calibri"/>
                <w:sz w:val="22"/>
              </w:rPr>
              <w:t>—</w:t>
            </w:r>
          </w:p>
        </w:tc>
        <w:tc>
          <w:tcPr>
            <w:tcW w:type="dxa" w:w="1728"/>
          </w:tcPr>
          <w:p>
            <w:r>
              <w:rPr>
                <w:rFonts w:ascii="Calibri" w:hAnsi="Calibri"/>
                <w:sz w:val="22"/>
              </w:rPr>
              <w:t>$17.296B</w:t>
            </w:r>
          </w:p>
        </w:tc>
        <w:tc>
          <w:tcPr>
            <w:tcW w:type="dxa" w:w="1728"/>
          </w:tcPr>
          <w:p>
            <w:r>
              <w:rPr>
                <w:rFonts w:ascii="Calibri" w:hAnsi="Calibri"/>
                <w:sz w:val="22"/>
              </w:rPr>
              <w:t>Reaffirmed at Q1 earnings; consensus at midpoint</w:t>
            </w:r>
          </w:p>
        </w:tc>
      </w:tr>
      <w:tr>
        <w:tc>
          <w:tcPr>
            <w:tcW w:type="dxa" w:w="1728"/>
          </w:tcPr>
          <w:p>
            <w:r>
              <w:rPr>
                <w:rFonts w:ascii="Calibri" w:hAnsi="Calibri"/>
                <w:sz w:val="22"/>
              </w:rPr>
              <w:t>FY 2026 Adj. EBITDA</w:t>
            </w:r>
          </w:p>
        </w:tc>
        <w:tc>
          <w:tcPr>
            <w:tcW w:type="dxa" w:w="1728"/>
          </w:tcPr>
          <w:p>
            <w:r>
              <w:rPr>
                <w:rFonts w:ascii="Calibri" w:hAnsi="Calibri"/>
                <w:sz w:val="22"/>
              </w:rPr>
              <w:t>$3.975B – $4.025B (reaffirmed)</w:t>
            </w:r>
          </w:p>
        </w:tc>
        <w:tc>
          <w:tcPr>
            <w:tcW w:type="dxa" w:w="1728"/>
          </w:tcPr>
          <w:p>
            <w:r>
              <w:rPr>
                <w:rFonts w:ascii="Calibri" w:hAnsi="Calibri"/>
                <w:sz w:val="22"/>
              </w:rPr>
              <w:t>—</w:t>
            </w:r>
          </w:p>
        </w:tc>
        <w:tc>
          <w:tcPr>
            <w:tcW w:type="dxa" w:w="1728"/>
          </w:tcPr>
          <w:p>
            <w:r>
              <w:rPr>
                <w:rFonts w:ascii="Calibri" w:hAnsi="Calibri"/>
                <w:sz w:val="22"/>
              </w:rPr>
              <w:t>$3.998B</w:t>
            </w:r>
          </w:p>
        </w:tc>
        <w:tc>
          <w:tcPr>
            <w:tcW w:type="dxa" w:w="1728"/>
          </w:tcPr>
          <w:p>
            <w:r>
              <w:rPr>
                <w:rFonts w:ascii="Calibri" w:hAnsi="Calibri"/>
                <w:sz w:val="22"/>
              </w:rPr>
              <w:t>Reaffirmed at Q1 earnings; consensus at midpoint</w:t>
            </w:r>
          </w:p>
        </w:tc>
      </w:tr>
      <w:tr>
        <w:tc>
          <w:tcPr>
            <w:tcW w:type="dxa" w:w="1728"/>
          </w:tcPr>
          <w:p>
            <w:r>
              <w:rPr>
                <w:rFonts w:ascii="Calibri" w:hAnsi="Calibri"/>
                <w:sz w:val="22"/>
              </w:rPr>
              <w:t>FY 2026 Adj. Diluted EPS</w:t>
            </w:r>
          </w:p>
        </w:tc>
        <w:tc>
          <w:tcPr>
            <w:tcW w:type="dxa" w:w="1728"/>
          </w:tcPr>
          <w:p>
            <w:r>
              <w:rPr>
                <w:rFonts w:ascii="Calibri" w:hAnsi="Calibri"/>
                <w:sz w:val="22"/>
              </w:rPr>
              <w:t>$12.65 – $12.95 (↑ raised from prior $12.40–$12.80)</w:t>
            </w:r>
          </w:p>
        </w:tc>
        <w:tc>
          <w:tcPr>
            <w:tcW w:type="dxa" w:w="1728"/>
          </w:tcPr>
          <w:p>
            <w:r>
              <w:rPr>
                <w:rFonts w:ascii="Calibri" w:hAnsi="Calibri"/>
                <w:sz w:val="22"/>
              </w:rPr>
              <w:t>—</w:t>
            </w:r>
          </w:p>
        </w:tc>
        <w:tc>
          <w:tcPr>
            <w:tcW w:type="dxa" w:w="1728"/>
          </w:tcPr>
          <w:p>
            <w:r>
              <w:rPr>
                <w:rFonts w:ascii="Calibri" w:hAnsi="Calibri"/>
                <w:sz w:val="22"/>
              </w:rPr>
              <w:t>$12.81</w:t>
            </w:r>
          </w:p>
        </w:tc>
        <w:tc>
          <w:tcPr>
            <w:tcW w:type="dxa" w:w="1728"/>
          </w:tcPr>
          <w:p>
            <w:r>
              <w:rPr>
                <w:rFonts w:ascii="Calibri" w:hAnsi="Calibri"/>
                <w:sz w:val="22"/>
              </w:rPr>
              <w:t>↑ Raised at Q1 2026 earnings (May 5, 2026); driven by Q1 EPS beat and buyback capacity ($3.2B remaining authorization)</w:t>
            </w:r>
          </w:p>
        </w:tc>
      </w:tr>
      <w:tr>
        <w:tc>
          <w:tcPr>
            <w:tcW w:type="dxa" w:w="1728"/>
          </w:tcPr>
          <w:p>
            <w:r>
              <w:rPr>
                <w:rFonts w:ascii="Calibri" w:hAnsi="Calibri"/>
                <w:sz w:val="22"/>
              </w:rPr>
              <w:t>Share Repurchase Capacity</w:t>
            </w:r>
          </w:p>
        </w:tc>
        <w:tc>
          <w:tcPr>
            <w:tcW w:type="dxa" w:w="1728"/>
          </w:tcPr>
          <w:p>
            <w:r>
              <w:rPr>
                <w:rFonts w:ascii="Calibri" w:hAnsi="Calibri"/>
                <w:sz w:val="22"/>
              </w:rPr>
              <w:t>~$1.2B remaining (pre-Q1 earnings)</w:t>
            </w:r>
          </w:p>
        </w:tc>
        <w:tc>
          <w:tcPr>
            <w:tcW w:type="dxa" w:w="1728"/>
          </w:tcPr>
          <w:p>
            <w:r>
              <w:rPr>
                <w:rFonts w:ascii="Calibri" w:hAnsi="Calibri"/>
                <w:sz w:val="22"/>
              </w:rPr>
              <w:t>~$3.2B total capacity (post May 7 8-K)</w:t>
            </w:r>
          </w:p>
        </w:tc>
        <w:tc>
          <w:tcPr>
            <w:tcW w:type="dxa" w:w="1728"/>
          </w:tcPr>
          <w:p>
            <w:r>
              <w:rPr>
                <w:rFonts w:ascii="Calibri" w:hAnsi="Calibri"/>
                <w:sz w:val="22"/>
              </w:rPr>
              <w:t>N/A</w:t>
            </w:r>
          </w:p>
        </w:tc>
        <w:tc>
          <w:tcPr>
            <w:tcW w:type="dxa" w:w="1728"/>
          </w:tcPr>
          <w:p>
            <w:r>
              <w:rPr>
                <w:rFonts w:ascii="Calibri" w:hAnsi="Calibri"/>
                <w:sz w:val="22"/>
              </w:rPr>
              <w:t>↑ Board authorized additional $2B repurchase program (8-K, May 7, 2026); management described current valuation as “highly attractive”</w:t>
            </w:r>
          </w:p>
        </w:tc>
      </w:tr>
      <w:tr>
        <w:tc>
          <w:tcPr>
            <w:tcW w:type="dxa" w:w="1728"/>
          </w:tcPr>
          <w:p>
            <w:r>
              <w:rPr>
                <w:rFonts w:ascii="Calibri" w:hAnsi="Calibri"/>
                <w:sz w:val="22"/>
              </w:rPr>
              <w:t>EBP Funding Trend</w:t>
            </w:r>
          </w:p>
        </w:tc>
        <w:tc>
          <w:tcPr>
            <w:tcW w:type="dxa" w:w="1728"/>
          </w:tcPr>
          <w:p>
            <w:r>
              <w:rPr>
                <w:rFonts w:ascii="Calibri" w:hAnsi="Calibri"/>
                <w:sz w:val="22"/>
              </w:rPr>
              <w:t>Q1 2026 EBP funding ~$25B (nearly double Q1 2025)</w:t>
            </w:r>
          </w:p>
        </w:tc>
        <w:tc>
          <w:tcPr>
            <w:tcW w:type="dxa" w:w="1728"/>
          </w:tcPr>
          <w:p>
            <w:r>
              <w:rPr>
                <w:rFonts w:ascii="Calibri" w:hAnsi="Calibri"/>
                <w:sz w:val="22"/>
              </w:rPr>
              <w:t>April 2026 EBP funding ~3x April 2025 levels</w:t>
            </w:r>
          </w:p>
        </w:tc>
        <w:tc>
          <w:tcPr>
            <w:tcW w:type="dxa" w:w="1728"/>
          </w:tcPr>
          <w:p>
            <w:r>
              <w:rPr>
                <w:rFonts w:ascii="Calibri" w:hAnsi="Calibri"/>
                <w:sz w:val="22"/>
              </w:rPr>
              <w:t>N/A</w:t>
            </w:r>
          </w:p>
        </w:tc>
        <w:tc>
          <w:tcPr>
            <w:tcW w:type="dxa" w:w="1728"/>
          </w:tcPr>
          <w:p>
            <w:r>
              <w:rPr>
                <w:rFonts w:ascii="Calibri" w:hAnsi="Calibri"/>
                <w:sz w:val="22"/>
              </w:rPr>
              <w:t>↑ Disclosed at Jefferies Global Healthcare Conference (June 11, 2026); strongest leading-indicator signal yet for future R&amp;DS bookings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revenue consensus moved only ~$4M lower and FY 2026 revenue moved only ~$1.5M lower vs. the post-Q1 baseline, suggesting the street is not chasing upside despite the strong Q1 beat. The gap between guidance midpoints and current consensus is essentially zero, meaning there is no embedded cushion or risk in the estimate bar — the print will be judged on execution vs. guidance, not vs. a stretched or sandbagged consensus.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5/12/26)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$4.306B</w:t>
            </w:r>
          </w:p>
        </w:tc>
        <w:tc>
          <w:tcPr>
            <w:tcW w:type="dxa" w:w="1080"/>
          </w:tcPr>
          <w:p>
            <w:r>
              <w:rPr>
                <w:rFonts w:ascii="Calibri" w:hAnsi="Calibri"/>
                <w:sz w:val="22"/>
              </w:rPr>
              <w:t>$4.302B</w:t>
            </w:r>
          </w:p>
        </w:tc>
        <w:tc>
          <w:tcPr>
            <w:tcW w:type="dxa" w:w="1080"/>
          </w:tcPr>
          <w:p>
            <w:r>
              <w:rPr>
                <w:rFonts w:ascii="Calibri" w:hAnsi="Calibri"/>
                <w:sz w:val="22"/>
              </w:rPr>
              <w:t>-0.1%</w:t>
            </w:r>
          </w:p>
        </w:tc>
        <w:tc>
          <w:tcPr>
            <w:tcW w:type="dxa" w:w="1080"/>
          </w:tcPr>
          <w:p>
            <w:r>
              <w:rPr>
                <w:rFonts w:ascii="Calibri" w:hAnsi="Calibri"/>
                <w:sz w:val="22"/>
              </w:rPr>
              <w:t>$4.280–$4.340B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w:t>
            </w:r>
          </w:p>
        </w:tc>
      </w:tr>
      <w:tr>
        <w:tc>
          <w:tcPr>
            <w:tcW w:type="dxa" w:w="1080"/>
          </w:tcPr>
          <w:p>
            <w:r>
              <w:rPr>
                <w:rFonts w:ascii="Calibri" w:hAnsi="Calibri"/>
                <w:sz w:val="22"/>
              </w:rPr>
              <w:t>Adj. Diluted EPS (Q2 2026)</w:t>
            </w:r>
          </w:p>
        </w:tc>
        <w:tc>
          <w:tcPr>
            <w:tcW w:type="dxa" w:w="1080"/>
          </w:tcPr>
          <w:p>
            <w:r>
              <w:rPr>
                <w:rFonts w:ascii="Calibri" w:hAnsi="Calibri"/>
                <w:sz w:val="22"/>
              </w:rPr>
              <w:t>$3.034</w:t>
            </w:r>
          </w:p>
        </w:tc>
        <w:tc>
          <w:tcPr>
            <w:tcW w:type="dxa" w:w="1080"/>
          </w:tcPr>
          <w:p>
            <w:r>
              <w:rPr>
                <w:rFonts w:ascii="Calibri" w:hAnsi="Calibri"/>
                <w:sz w:val="22"/>
              </w:rPr>
              <w:t>$3.031</w:t>
            </w:r>
          </w:p>
        </w:tc>
        <w:tc>
          <w:tcPr>
            <w:tcW w:type="dxa" w:w="1080"/>
          </w:tcPr>
          <w:p>
            <w:r>
              <w:rPr>
                <w:rFonts w:ascii="Calibri" w:hAnsi="Calibri"/>
                <w:sz w:val="22"/>
              </w:rPr>
              <w:t>-0.1%</w:t>
            </w:r>
          </w:p>
        </w:tc>
        <w:tc>
          <w:tcPr>
            <w:tcW w:type="dxa" w:w="1080"/>
          </w:tcPr>
          <w:p>
            <w:r>
              <w:rPr>
                <w:rFonts w:ascii="Calibri" w:hAnsi="Calibri"/>
                <w:sz w:val="22"/>
              </w:rPr>
              <w:t>$2.98–$3.08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w:t>
            </w:r>
          </w:p>
        </w:tc>
      </w:tr>
      <w:tr>
        <w:tc>
          <w:tcPr>
            <w:tcW w:type="dxa" w:w="1080"/>
          </w:tcPr>
          <w:p>
            <w:r>
              <w:rPr>
                <w:rFonts w:ascii="Calibri" w:hAnsi="Calibri"/>
                <w:sz w:val="22"/>
              </w:rPr>
              <w:t>Adj. EBITDA (Q2 2026)</w:t>
            </w:r>
          </w:p>
        </w:tc>
        <w:tc>
          <w:tcPr>
            <w:tcW w:type="dxa" w:w="1080"/>
          </w:tcPr>
          <w:p>
            <w:r>
              <w:rPr>
                <w:rFonts w:ascii="Calibri" w:hAnsi="Calibri"/>
                <w:sz w:val="22"/>
              </w:rPr>
              <w:t>$967M</w:t>
            </w:r>
          </w:p>
        </w:tc>
        <w:tc>
          <w:tcPr>
            <w:tcW w:type="dxa" w:w="1080"/>
          </w:tcPr>
          <w:p>
            <w:r>
              <w:rPr>
                <w:rFonts w:ascii="Calibri" w:hAnsi="Calibri"/>
                <w:sz w:val="22"/>
              </w:rPr>
              <w:t>$967M</w:t>
            </w:r>
          </w:p>
        </w:tc>
        <w:tc>
          <w:tcPr>
            <w:tcW w:type="dxa" w:w="1080"/>
          </w:tcPr>
          <w:p>
            <w:r>
              <w:rPr>
                <w:rFonts w:ascii="Calibri" w:hAnsi="Calibri"/>
                <w:sz w:val="22"/>
              </w:rPr>
              <w:t>0.0%</w:t>
            </w:r>
          </w:p>
        </w:tc>
        <w:tc>
          <w:tcPr>
            <w:tcW w:type="dxa" w:w="1080"/>
          </w:tcPr>
          <w:p>
            <w:r>
              <w:rPr>
                <w:rFonts w:ascii="Calibri" w:hAnsi="Calibri"/>
                <w:sz w:val="22"/>
              </w:rPr>
              <w:t>$955–$975M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w:t>
            </w:r>
          </w:p>
        </w:tc>
      </w:tr>
      <w:tr>
        <w:tc>
          <w:tcPr>
            <w:tcW w:type="dxa" w:w="1080"/>
          </w:tcPr>
          <w:p>
            <w:r>
              <w:rPr>
                <w:rFonts w:ascii="Calibri" w:hAnsi="Calibri"/>
                <w:sz w:val="22"/>
              </w:rPr>
              <w:t>R&amp;DS Net New Bookings (Q2 2026)</w:t>
            </w:r>
          </w:p>
        </w:tc>
        <w:tc>
          <w:tcPr>
            <w:tcW w:type="dxa" w:w="1080"/>
          </w:tcPr>
          <w:p>
            <w:r>
              <w:rPr>
                <w:rFonts w:ascii="Calibri" w:hAnsi="Calibri"/>
                <w:sz w:val="22"/>
              </w:rPr>
              <w:t>$2.727B</w:t>
            </w:r>
          </w:p>
        </w:tc>
        <w:tc>
          <w:tcPr>
            <w:tcW w:type="dxa" w:w="1080"/>
          </w:tcPr>
          <w:p>
            <w:r>
              <w:rPr>
                <w:rFonts w:ascii="Calibri" w:hAnsi="Calibri"/>
                <w:sz w:val="22"/>
              </w:rPr>
              <w:t>$2.720B</w:t>
            </w:r>
          </w:p>
        </w:tc>
        <w:tc>
          <w:tcPr>
            <w:tcW w:type="dxa" w:w="1080"/>
          </w:tcPr>
          <w:p>
            <w:r>
              <w:rPr>
                <w:rFonts w:ascii="Calibri" w:hAnsi="Calibri"/>
                <w:sz w:val="22"/>
              </w:rPr>
              <w:t>-0.3%</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$17.294B</w:t>
            </w:r>
          </w:p>
        </w:tc>
        <w:tc>
          <w:tcPr>
            <w:tcW w:type="dxa" w:w="1080"/>
          </w:tcPr>
          <w:p>
            <w:r>
              <w:rPr>
                <w:rFonts w:ascii="Calibri" w:hAnsi="Calibri"/>
                <w:sz w:val="22"/>
              </w:rPr>
              <w:t>$17.296B</w:t>
            </w:r>
          </w:p>
        </w:tc>
        <w:tc>
          <w:tcPr>
            <w:tcW w:type="dxa" w:w="1080"/>
          </w:tcPr>
          <w:p>
            <w:r>
              <w:rPr>
                <w:rFonts w:ascii="Calibri" w:hAnsi="Calibri"/>
                <w:sz w:val="22"/>
              </w:rPr>
              <w:t>+0.0%</w:t>
            </w:r>
          </w:p>
        </w:tc>
        <w:tc>
          <w:tcPr>
            <w:tcW w:type="dxa" w:w="1080"/>
          </w:tcPr>
          <w:p>
            <w:r>
              <w:rPr>
                <w:rFonts w:ascii="Calibri" w:hAnsi="Calibri"/>
                <w:sz w:val="22"/>
              </w:rPr>
              <w:t>$17.150–$17.350B</w:t>
            </w:r>
          </w:p>
        </w:tc>
        <w:tc>
          <w:tcPr>
            <w:tcW w:type="dxa" w:w="1080"/>
          </w:tcPr>
          <w:p>
            <w:r>
              <w:rPr>
                <w:rFonts w:ascii="Calibri" w:hAnsi="Calibri"/>
                <w:sz w:val="22"/>
              </w:rPr>
              <w:t>Unchanged (reaffirmed)</w:t>
            </w:r>
          </w:p>
        </w:tc>
        <w:tc>
          <w:tcPr>
            <w:tcW w:type="dxa" w:w="1080"/>
          </w:tcPr>
          <w:p>
            <w:r>
              <w:rPr>
                <w:rFonts w:ascii="Calibri" w:hAnsi="Calibri"/>
                <w:sz w:val="22"/>
              </w:rPr>
              <w:t>—</w:t>
            </w:r>
          </w:p>
        </w:tc>
        <w:tc>
          <w:tcPr>
            <w:tcW w:type="dxa" w:w="1080"/>
          </w:tcPr>
          <w:p>
            <w:r>
              <w:rPr>
                <w:rFonts w:ascii="Calibri" w:hAnsi="Calibri"/>
                <w:sz w:val="22"/>
              </w:rPr>
              <w:t>+0.0% vs. mid</w:t>
            </w:r>
          </w:p>
        </w:tc>
      </w:tr>
      <w:tr>
        <w:tc>
          <w:tcPr>
            <w:tcW w:type="dxa" w:w="1080"/>
          </w:tcPr>
          <w:p>
            <w:r>
              <w:rPr>
                <w:rFonts w:ascii="Calibri" w:hAnsi="Calibri"/>
                <w:sz w:val="22"/>
              </w:rPr>
              <w:t>Adj. Diluted EPS (FY 2026)</w:t>
            </w:r>
          </w:p>
        </w:tc>
        <w:tc>
          <w:tcPr>
            <w:tcW w:type="dxa" w:w="1080"/>
          </w:tcPr>
          <w:p>
            <w:r>
              <w:rPr>
                <w:rFonts w:ascii="Calibri" w:hAnsi="Calibri"/>
                <w:sz w:val="22"/>
              </w:rPr>
              <w:t>$12.816</w:t>
            </w:r>
          </w:p>
        </w:tc>
        <w:tc>
          <w:tcPr>
            <w:tcW w:type="dxa" w:w="1080"/>
          </w:tcPr>
          <w:p>
            <w:r>
              <w:rPr>
                <w:rFonts w:ascii="Calibri" w:hAnsi="Calibri"/>
                <w:sz w:val="22"/>
              </w:rPr>
              <w:t>$12.810</w:t>
            </w:r>
          </w:p>
        </w:tc>
        <w:tc>
          <w:tcPr>
            <w:tcW w:type="dxa" w:w="1080"/>
          </w:tcPr>
          <w:p>
            <w:r>
              <w:rPr>
                <w:rFonts w:ascii="Calibri" w:hAnsi="Calibri"/>
                <w:sz w:val="22"/>
              </w:rPr>
              <w:t>-0.1%</w:t>
            </w:r>
          </w:p>
        </w:tc>
        <w:tc>
          <w:tcPr>
            <w:tcW w:type="dxa" w:w="1080"/>
          </w:tcPr>
          <w:p>
            <w:r>
              <w:rPr>
                <w:rFonts w:ascii="Calibri" w:hAnsi="Calibri"/>
                <w:sz w:val="22"/>
              </w:rPr>
              <w:t>$12.65–$12.95 (↑ raised at Q1)</w:t>
            </w:r>
          </w:p>
        </w:tc>
        <w:tc>
          <w:tcPr>
            <w:tcW w:type="dxa" w:w="1080"/>
          </w:tcPr>
          <w:p>
            <w:r>
              <w:rPr>
                <w:rFonts w:ascii="Calibri" w:hAnsi="Calibri"/>
                <w:sz w:val="22"/>
              </w:rPr>
              <w:t>Unchanged post-raise</w:t>
            </w:r>
          </w:p>
        </w:tc>
        <w:tc>
          <w:tcPr>
            <w:tcW w:type="dxa" w:w="1080"/>
          </w:tcPr>
          <w:p>
            <w:r>
              <w:rPr>
                <w:rFonts w:ascii="Calibri" w:hAnsi="Calibri"/>
                <w:sz w:val="22"/>
              </w:rPr>
              <w:t>—</w:t>
            </w:r>
          </w:p>
        </w:tc>
        <w:tc>
          <w:tcPr>
            <w:tcW w:type="dxa" w:w="1080"/>
          </w:tcPr>
          <w:p>
            <w:r>
              <w:rPr>
                <w:rFonts w:ascii="Calibri" w:hAnsi="Calibri"/>
                <w:sz w:val="22"/>
              </w:rPr>
              <w:t>-0.1% vs. mid</w:t>
            </w:r>
          </w:p>
        </w:tc>
      </w:tr>
      <w:tr>
        <w:tc>
          <w:tcPr>
            <w:tcW w:type="dxa" w:w="1080"/>
          </w:tcPr>
          <w:p>
            <w:r>
              <w:rPr>
                <w:rFonts w:ascii="Calibri" w:hAnsi="Calibri"/>
                <w:sz w:val="22"/>
              </w:rPr>
              <w:t>Adj. EBITDA (FY 2026)</w:t>
            </w:r>
          </w:p>
        </w:tc>
        <w:tc>
          <w:tcPr>
            <w:tcW w:type="dxa" w:w="1080"/>
          </w:tcPr>
          <w:p>
            <w:r>
              <w:rPr>
                <w:rFonts w:ascii="Calibri" w:hAnsi="Calibri"/>
                <w:sz w:val="22"/>
              </w:rPr>
              <w:t>$3.998B</w:t>
            </w:r>
          </w:p>
        </w:tc>
        <w:tc>
          <w:tcPr>
            <w:tcW w:type="dxa" w:w="1080"/>
          </w:tcPr>
          <w:p>
            <w:r>
              <w:rPr>
                <w:rFonts w:ascii="Calibri" w:hAnsi="Calibri"/>
                <w:sz w:val="22"/>
              </w:rPr>
              <w:t>$3.998B</w:t>
            </w:r>
          </w:p>
        </w:tc>
        <w:tc>
          <w:tcPr>
            <w:tcW w:type="dxa" w:w="1080"/>
          </w:tcPr>
          <w:p>
            <w:r>
              <w:rPr>
                <w:rFonts w:ascii="Calibri" w:hAnsi="Calibri"/>
                <w:sz w:val="22"/>
              </w:rPr>
              <w:t>0.0%</w:t>
            </w:r>
          </w:p>
        </w:tc>
        <w:tc>
          <w:tcPr>
            <w:tcW w:type="dxa" w:w="1080"/>
          </w:tcPr>
          <w:p>
            <w:r>
              <w:rPr>
                <w:rFonts w:ascii="Calibri" w:hAnsi="Calibri"/>
                <w:sz w:val="22"/>
              </w:rPr>
              <w:t>$3.975–$4.025B</w:t>
            </w:r>
          </w:p>
        </w:tc>
        <w:tc>
          <w:tcPr>
            <w:tcW w:type="dxa" w:w="1080"/>
          </w:tcPr>
          <w:p>
            <w:r>
              <w:rPr>
                <w:rFonts w:ascii="Calibri" w:hAnsi="Calibri"/>
                <w:sz w:val="22"/>
              </w:rPr>
              <w:t>Unchanged (reaffirmed)</w:t>
            </w:r>
          </w:p>
        </w:tc>
        <w:tc>
          <w:tcPr>
            <w:tcW w:type="dxa" w:w="1080"/>
          </w:tcPr>
          <w:p>
            <w:r>
              <w:rPr>
                <w:rFonts w:ascii="Calibri" w:hAnsi="Calibri"/>
                <w:sz w:val="22"/>
              </w:rPr>
              <w:t>—</w:t>
            </w:r>
          </w:p>
        </w:tc>
        <w:tc>
          <w:tcPr>
            <w:tcW w:type="dxa" w:w="1080"/>
          </w:tcPr>
          <w:p>
            <w:r>
              <w:rPr>
                <w:rFonts w:ascii="Calibri" w:hAnsi="Calibri"/>
                <w:sz w:val="22"/>
              </w:rPr>
              <w:t>+0.0% vs. mid</w:t>
            </w:r>
          </w:p>
        </w:tc>
      </w:tr>
      <w:tr>
        <w:tc>
          <w:tcPr>
            <w:tcW w:type="dxa" w:w="1080"/>
          </w:tcPr>
          <w:p>
            <w:r>
              <w:rPr>
                <w:rFonts w:ascii="Calibri" w:hAnsi="Calibri"/>
                <w:sz w:val="22"/>
              </w:rPr>
              <w:t>Total Revenue (FY 2027)</w:t>
            </w:r>
          </w:p>
        </w:tc>
        <w:tc>
          <w:tcPr>
            <w:tcW w:type="dxa" w:w="1080"/>
          </w:tcPr>
          <w:p>
            <w:r>
              <w:rPr>
                <w:rFonts w:ascii="Calibri" w:hAnsi="Calibri"/>
                <w:sz w:val="22"/>
              </w:rPr>
              <w:t>$18.261B</w:t>
            </w:r>
          </w:p>
        </w:tc>
        <w:tc>
          <w:tcPr>
            <w:tcW w:type="dxa" w:w="1080"/>
          </w:tcPr>
          <w:p>
            <w:r>
              <w:rPr>
                <w:rFonts w:ascii="Calibri" w:hAnsi="Calibri"/>
                <w:sz w:val="22"/>
              </w:rPr>
              <w:t>$18.250B</w:t>
            </w:r>
          </w:p>
        </w:tc>
        <w:tc>
          <w:tcPr>
            <w:tcW w:type="dxa" w:w="1080"/>
          </w:tcPr>
          <w:p>
            <w:r>
              <w:rPr>
                <w:rFonts w:ascii="Calibri" w:hAnsi="Calibri"/>
                <w:sz w:val="22"/>
              </w:rPr>
              <w:t>-0.1%</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Diluted EPS (FY 2027)</w:t>
            </w:r>
          </w:p>
        </w:tc>
        <w:tc>
          <w:tcPr>
            <w:tcW w:type="dxa" w:w="1080"/>
          </w:tcPr>
          <w:p>
            <w:r>
              <w:rPr>
                <w:rFonts w:ascii="Calibri" w:hAnsi="Calibri"/>
                <w:sz w:val="22"/>
              </w:rPr>
              <w:t>$14.241</w:t>
            </w:r>
          </w:p>
        </w:tc>
        <w:tc>
          <w:tcPr>
            <w:tcW w:type="dxa" w:w="1080"/>
          </w:tcPr>
          <w:p>
            <w:r>
              <w:rPr>
                <w:rFonts w:ascii="Calibri" w:hAnsi="Calibri"/>
                <w:sz w:val="22"/>
              </w:rPr>
              <w:t>$14.205</w:t>
            </w:r>
          </w:p>
        </w:tc>
        <w:tc>
          <w:tcPr>
            <w:tcW w:type="dxa" w:w="1080"/>
          </w:tcPr>
          <w:p>
            <w:r>
              <w:rPr>
                <w:rFonts w:ascii="Calibri" w:hAnsi="Calibri"/>
                <w:sz w:val="22"/>
              </w:rPr>
              <w:t>-0.3%</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Estimates have been essentially anchored to guidance midpoints since the Q1 print, with virtually no revision drift in either direction. This is consistent with management's conservative guidance philosophy (8 consecutive beats) and suggests the street is waiting for the Q2 print to determine whether to revise FY 2026 estimates higher. A Q2 beat of similar magnitude to Q1 (+1–3% on revenue, +2–3% on EPS) would likely prompt modest upward FY 2026 revisions.</w:t>
      </w:r>
    </w:p>
    <w:p>
      <w:r>
        <w:rPr>
          <w:rFonts w:ascii="Calibri" w:hAnsi="Calibri"/>
          <w:i/>
          <w:color w:val="525866"/>
          <w:sz w:val="22"/>
        </w:rPr>
        <w:t>Source: Visible Alpha consensus and actuals data. Estimate as of 5/12/26 used as post-Q1 earnings baseline (~5 trading days after May 5, 2026 earnings date).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IQV has rallied ~21% since the Q1 earnings date (May 5, 2026) vs. ~2% for the S&amp;P 500 and ~13% for XBI, driven primarily by multiple re-rating on improving demand fundamentals and the raised EPS guidance — the stock is no longer pricing in a miss, but the multiple remains below historical averages, leaving room for further re-rating if Q2 bookings confirm the recovery.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IQV vs. XBI (Biotech ETF) vs. S&amp;P 500 — Indexed to 100 at Q1 2026 Earnings Date (May 5, 2026). Source: Yahoo Finance / Stock Price Data.</w:t>
      </w:r>
    </w:p>
    <w:p>
      <w:r>
        <w:rPr>
          <w:rFonts w:ascii="Calibri" w:hAnsi="Calibri"/>
          <w:color w:val="525866"/>
          <w:sz w:val="22"/>
        </w:rPr>
        <w:t>IQV closed at $213.22 on July 28, 2026 (earnings day), up from $160.94 the day before Q1 earnings (May 4, 2026), representing a gain of approximately +32.5% from the pre-earnings close. The stock's outperformance vs. XBI (+12.6%) and the S&amp;P 500 (+2.1%) over this period reflects a combination of: (1) the Q1 beat and raised EPS guidance, (2) the June Jefferies conference disclosure of April EBP funding at ~3x prior-year levels, and (3) broader sector rotation back into life sciences as macro uncertainty moderated. Key events marked on the chart include the Q1 earnings release (May 5), the $2B buyback authorization (May 7), the BofA Healthcare Conference (May 13), the Jefferies Healthcare Conference (June 11), and the €950M senior notes issuance (June 11). The stock pulled back modestly in mid-June before resuming its uptrend in late June/early July, likely reflecting sector-level rotation rather than company-specific news. Post-market on July 27, IQV traded at $218.49, suggesting the market is pricing in a positive Q2 print ahead of the July 28 release.</w:t>
      </w:r>
    </w:p>
    <w:p>
      <w:r>
        <w:rPr>
          <w:rFonts w:ascii="Calibri" w:hAnsi="Calibri"/>
          <w:i/>
          <w:color w:val="525866"/>
          <w:sz w:val="22"/>
        </w:rPr>
        <w:t>Note: XBI (SPDR S&amp;P Biotech ETF) used as the sector comparator given IQV’s CRO/life sciences services positioning. Prices indexed to 100 at May 5, 2026 (Q1 2026 earnings date). Source: Yahoo Finance /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$2B incremental share repurchase authorization (May 7), which brings total buyback capacity to ~$3.2B and signals management's conviction that the stock is undervalued — a direct read-through to Q2 capital allocation commentary. The June Jefferies EBP funding disclosure (April 2026 at ~3x April 2025) is the most important demand-side signal for the Q2 bookings print.</w:t>
      </w:r>
    </w:p>
    <w:p>
      <w:pPr>
        <w:pStyle w:val="ListBullet"/>
        <w:ind w:left="360" w:hanging="360"/>
      </w:pPr>
      <w:r>
        <w:rPr>
          <w:rFonts w:ascii="Calibri" w:hAnsi="Calibri"/>
          <w:b/>
          <w:color w:val="525866"/>
          <w:sz w:val="22"/>
        </w:rPr>
        <w:t>May 5, 2026 — Q1 2026 Earnings Beat &amp; EPS Guidance Raise:</w:t>
      </w:r>
      <w:r>
        <w:rPr>
          <w:rFonts w:ascii="Calibri" w:hAnsi="Calibri"/>
          <w:color w:val="525866"/>
          <w:sz w:val="22"/>
        </w:rPr>
        <w:t xml:space="preserve"> Revenue of $4.151B and adj. EPS of $2.90 both exceeded the high end of guidance; full-year EPS guidance raised to $12.65–$12.95 (from $12.40–$12.80); organic revenue growth accelerated meaningfully in both segments. </w:t>
      </w:r>
      <w:r>
        <w:rPr>
          <w:rFonts w:ascii="Calibri" w:hAnsi="Calibri"/>
          <w:i/>
          <w:color w:val="525866"/>
          <w:sz w:val="22"/>
        </w:rPr>
        <w:t>Implication:</w:t>
      </w:r>
      <w:r>
        <w:rPr>
          <w:rFonts w:ascii="Calibri" w:hAnsi="Calibri"/>
          <w:color w:val="525866"/>
          <w:sz w:val="22"/>
        </w:rPr>
        <w:t xml:space="preserve"> Sets a higher bar for Q2 but also validates the demand recovery narrative.</w:t>
      </w:r>
    </w:p>
    <w:p>
      <w:pPr>
        <w:pStyle w:val="ListBullet"/>
        <w:ind w:left="360" w:hanging="360"/>
      </w:pPr>
      <w:r>
        <w:rPr>
          <w:rFonts w:ascii="Calibri" w:hAnsi="Calibri"/>
          <w:b/>
          <w:color w:val="525866"/>
          <w:sz w:val="22"/>
        </w:rPr>
        <w:t>May 7, 2026 — $2 Billion Additional Share Repurchase Authorization (8-K):</w:t>
      </w:r>
      <w:r>
        <w:rPr>
          <w:rFonts w:ascii="Calibri" w:hAnsi="Calibri"/>
          <w:color w:val="525866"/>
          <w:sz w:val="22"/>
        </w:rPr>
        <w:t xml:space="preserve"> Board approved an incremental $2B buyback, bringing total remaining capacity to ~$3.2B. Management described current valuation as “highly attractive.” </w:t>
      </w:r>
      <w:r>
        <w:rPr>
          <w:rFonts w:ascii="Calibri" w:hAnsi="Calibri"/>
          <w:i/>
          <w:color w:val="525866"/>
          <w:sz w:val="22"/>
        </w:rPr>
        <w:t>Implication:</w:t>
      </w:r>
      <w:r>
        <w:rPr>
          <w:rFonts w:ascii="Calibri" w:hAnsi="Calibri"/>
          <w:color w:val="525866"/>
          <w:sz w:val="22"/>
        </w:rPr>
        <w:t xml:space="preserve"> Signals management confidence in the business trajectory and provides a meaningful EPS tailwind; watch for Q2 buyback activity disclosure.</w:t>
      </w:r>
    </w:p>
    <w:p>
      <w:pPr>
        <w:pStyle w:val="ListBullet"/>
        <w:ind w:left="360" w:hanging="360"/>
      </w:pPr>
      <w:r>
        <w:rPr>
          <w:rFonts w:ascii="Calibri" w:hAnsi="Calibri"/>
          <w:b/>
          <w:color w:val="525866"/>
          <w:sz w:val="22"/>
        </w:rPr>
        <w:t>May 13, 2026 — CFO at BofA Healthcare Conference:</w:t>
      </w:r>
      <w:r>
        <w:rPr>
          <w:rFonts w:ascii="Calibri" w:hAnsi="Calibri"/>
          <w:color w:val="525866"/>
          <w:sz w:val="22"/>
        </w:rPr>
        <w:t xml:space="preserve"> CFO provided explicit Q1 margin decomposition, confirming non-operational items (FX and pass-throughs) were the sole driver of reported margin contraction; operational margins expanded. Cautioned against extrapolating Q1 operational margin expansion as a new run-rate. </w:t>
      </w:r>
      <w:r>
        <w:rPr>
          <w:rFonts w:ascii="Calibri" w:hAnsi="Calibri"/>
          <w:i/>
          <w:color w:val="525866"/>
          <w:sz w:val="22"/>
        </w:rPr>
        <w:t>Implication:</w:t>
      </w:r>
      <w:r>
        <w:rPr>
          <w:rFonts w:ascii="Calibri" w:hAnsi="Calibri"/>
          <w:color w:val="525866"/>
          <w:sz w:val="22"/>
        </w:rPr>
        <w:t xml:space="preserve"> Reinforces the margin recovery narrative but tempers expectations for a step-change in Q2 reported margins.</w:t>
      </w:r>
    </w:p>
    <w:p>
      <w:pPr>
        <w:pStyle w:val="ListBullet"/>
        <w:ind w:left="360" w:hanging="360"/>
      </w:pPr>
      <w:r>
        <w:rPr>
          <w:rFonts w:ascii="Calibri" w:hAnsi="Calibri"/>
          <w:b/>
          <w:color w:val="525866"/>
          <w:sz w:val="22"/>
        </w:rPr>
        <w:t>May 26, 2026 — CEO to Speak at Jefferies Global Healthcare Conference (June 11):</w:t>
      </w:r>
      <w:r>
        <w:rPr>
          <w:rFonts w:ascii="Calibri" w:hAnsi="Calibri"/>
          <w:color w:val="525866"/>
          <w:sz w:val="22"/>
        </w:rPr>
        <w:t xml:space="preserve"> Announcement of CEO participation at the Jefferies conference, which subsequently produced the most important post-Q1 demand update.</w:t>
      </w:r>
    </w:p>
    <w:p>
      <w:pPr>
        <w:pStyle w:val="ListBullet"/>
        <w:ind w:left="360" w:hanging="360"/>
      </w:pPr>
      <w:r>
        <w:rPr>
          <w:rFonts w:ascii="Calibri" w:hAnsi="Calibri"/>
          <w:b/>
          <w:color w:val="525866"/>
          <w:sz w:val="22"/>
        </w:rPr>
        <w:t>June 11, 2026 — Jefferies Global Healthcare Conference — April EBP Funding Disclosure:</w:t>
      </w:r>
      <w:r>
        <w:rPr>
          <w:rFonts w:ascii="Calibri" w:hAnsi="Calibri"/>
          <w:color w:val="525866"/>
          <w:sz w:val="22"/>
        </w:rPr>
        <w:t xml:space="preserve"> CEO disclosed that April 2026 EBP funding was approximately triple April 2025 levels, extending the near-record Q1 2026 trend. Also disclosed that FSP as a share of recent bookings has been running meaningfully below its backlog share (high-teens %), suggesting mix is shifting back toward full-service outsourcing. </w:t>
      </w:r>
      <w:r>
        <w:rPr>
          <w:rFonts w:ascii="Calibri" w:hAnsi="Calibri"/>
          <w:i/>
          <w:color w:val="525866"/>
          <w:sz w:val="22"/>
        </w:rPr>
        <w:t>Implication:</w:t>
      </w:r>
      <w:r>
        <w:rPr>
          <w:rFonts w:ascii="Calibri" w:hAnsi="Calibri"/>
          <w:color w:val="525866"/>
          <w:sz w:val="22"/>
        </w:rPr>
        <w:t xml:space="preserve"> Strongest leading-indicator signal yet for future R&amp;DS bookings; if this translates to Q2 bookings, the book-to-bill should rebound well above 1.0x.</w:t>
      </w:r>
    </w:p>
    <w:p>
      <w:pPr>
        <w:pStyle w:val="ListBullet"/>
        <w:ind w:left="360" w:hanging="360"/>
      </w:pPr>
      <w:r>
        <w:rPr>
          <w:rFonts w:ascii="Calibri" w:hAnsi="Calibri"/>
          <w:b/>
          <w:color w:val="525866"/>
          <w:sz w:val="22"/>
        </w:rPr>
        <w:t>June 11, 2026 — IQVIA Subsidiary Issues €950M Senior Notes Due 2033 (8-K):</w:t>
      </w:r>
      <w:r>
        <w:rPr>
          <w:rFonts w:ascii="Calibri" w:hAnsi="Calibri"/>
          <w:color w:val="525866"/>
          <w:sz w:val="22"/>
        </w:rPr>
        <w:t xml:space="preserve"> IQVIA issued €950M (~$1.05B) in senior notes due 2033 via a subsidiary. </w:t>
      </w:r>
      <w:r>
        <w:rPr>
          <w:rFonts w:ascii="Calibri" w:hAnsi="Calibri"/>
          <w:i/>
          <w:color w:val="525866"/>
          <w:sz w:val="22"/>
        </w:rPr>
        <w:t>Implication:</w:t>
      </w:r>
      <w:r>
        <w:rPr>
          <w:rFonts w:ascii="Calibri" w:hAnsi="Calibri"/>
          <w:color w:val="525866"/>
          <w:sz w:val="22"/>
        </w:rPr>
        <w:t xml:space="preserve"> Likely pre-funds the pending Charles River asset acquisition and/or refinances near-term maturities; watch for balance sheet and interest expense commentary in Q2.</w:t>
      </w:r>
    </w:p>
    <w:p>
      <w:pPr>
        <w:pStyle w:val="ListBullet"/>
        <w:ind w:left="360" w:hanging="360"/>
      </w:pPr>
      <w:r>
        <w:rPr>
          <w:rFonts w:ascii="Calibri" w:hAnsi="Calibri"/>
          <w:b/>
          <w:color w:val="525866"/>
          <w:sz w:val="22"/>
        </w:rPr>
        <w:t>Pending — Charles River Laboratories Asset Acquisition (Expected Q2 2026 Close):</w:t>
      </w:r>
      <w:r>
        <w:rPr>
          <w:rFonts w:ascii="Calibri" w:hAnsi="Calibri"/>
          <w:color w:val="525866"/>
          <w:sz w:val="22"/>
        </w:rPr>
        <w:t xml:space="preserve"> IQVIA is acquiring five European in vitro small-molecule discovery sites and an AI-powered small molecule platform from Charles River Laboratories, expected to close in Q2 2026. </w:t>
      </w:r>
      <w:r>
        <w:rPr>
          <w:rFonts w:ascii="Calibri" w:hAnsi="Calibri"/>
          <w:i/>
          <w:color w:val="525866"/>
          <w:sz w:val="22"/>
        </w:rPr>
        <w:t>Implication:</w:t>
      </w:r>
      <w:r>
        <w:rPr>
          <w:rFonts w:ascii="Calibri" w:hAnsi="Calibri"/>
          <w:color w:val="525866"/>
          <w:sz w:val="22"/>
        </w:rPr>
        <w:t xml:space="preserve"> Expands IQVIA upstream into drug discovery; watch for close confirmation and initial revenue/cost contribution commentary in Q2 results.</w:t>
      </w:r>
    </w:p>
    <w:p>
      <w:pPr>
        <w:pStyle w:val="ListBullet"/>
        <w:ind w:left="360" w:hanging="360"/>
      </w:pPr>
      <w:r>
        <w:rPr>
          <w:rFonts w:ascii="Calibri" w:hAnsi="Calibri"/>
          <w:b/>
          <w:color w:val="525866"/>
          <w:sz w:val="22"/>
        </w:rPr>
        <w:t>July 8, 2026 — IQVIA Announces Q2 2026 Results Date (July 28, 2026):</w:t>
      </w:r>
      <w:r>
        <w:rPr>
          <w:rFonts w:ascii="Calibri" w:hAnsi="Calibri"/>
          <w:color w:val="525866"/>
          <w:sz w:val="22"/>
        </w:rPr>
        <w:t xml:space="preserve"> Formal announcement of the Q2 earnings date, confirming pre-market release on July 28.</w:t>
      </w:r>
    </w:p>
    <w:p>
      <w:pPr>
        <w:pStyle w:val="ListBullet"/>
        <w:ind w:left="360" w:hanging="360"/>
      </w:pPr>
      <w:r>
        <w:rPr>
          <w:rFonts w:ascii="Calibri" w:hAnsi="Calibri"/>
          <w:b/>
          <w:color w:val="525866"/>
          <w:sz w:val="22"/>
        </w:rPr>
        <w:t>Ongoing — AI Agent Deployment at Scale:</w:t>
      </w:r>
      <w:r>
        <w:rPr>
          <w:rFonts w:ascii="Calibri" w:hAnsi="Calibri"/>
          <w:color w:val="525866"/>
          <w:sz w:val="22"/>
        </w:rPr>
        <w:t xml:space="preserve"> As of Q1 2026, 192 AI agents deployed across 64 use cases; 19 of top 20 pharma using IQVIA-built agents; roadmap to 500+ agents by end of 2027. Management characterizes AI as a demand creator (not disruptor) for commercial services. </w:t>
      </w:r>
      <w:r>
        <w:rPr>
          <w:rFonts w:ascii="Calibri" w:hAnsi="Calibri"/>
          <w:i/>
          <w:color w:val="525866"/>
          <w:sz w:val="22"/>
        </w:rPr>
        <w:t>Implication:</w:t>
      </w:r>
      <w:r>
        <w:rPr>
          <w:rFonts w:ascii="Calibri" w:hAnsi="Calibri"/>
          <w:color w:val="525866"/>
          <w:sz w:val="22"/>
        </w:rPr>
        <w:t xml:space="preserve"> Watch for updated agent count and any new commercial AI wins in Q2 commentary.</w:t>
      </w:r>
    </w:p>
    <w:p>
      <w:pPr>
        <w:pStyle w:val="ListBullet"/>
        <w:ind w:left="360" w:hanging="360"/>
      </w:pPr>
      <w:r>
        <w:rPr>
          <w:rFonts w:ascii="Calibri" w:hAnsi="Calibri"/>
          <w:b/>
          <w:color w:val="525866"/>
          <w:sz w:val="22"/>
        </w:rPr>
        <w:t>Ongoing — Duke Clinical Research Institute Partnership:</w:t>
      </w:r>
      <w:r>
        <w:rPr>
          <w:rFonts w:ascii="Calibri" w:hAnsi="Calibri"/>
          <w:color w:val="525866"/>
          <w:sz w:val="22"/>
        </w:rPr>
        <w:t xml:space="preserve"> Strategic collaboration announced in Q1 2026 to advance clinical research in obesity and cardiometabolic conditions; management noted early pipeline wins in Q2 2026 at the Jefferies conference. </w:t>
      </w:r>
      <w:r>
        <w:rPr>
          <w:rFonts w:ascii="Calibri" w:hAnsi="Calibri"/>
          <w:i/>
          <w:color w:val="525866"/>
          <w:sz w:val="22"/>
        </w:rPr>
        <w:t>Implication:</w:t>
      </w:r>
      <w:r>
        <w:rPr>
          <w:rFonts w:ascii="Calibri" w:hAnsi="Calibri"/>
          <w:color w:val="525866"/>
          <w:sz w:val="22"/>
        </w:rPr>
        <w:t xml:space="preserve"> Incremental positive for R&amp;DS bookings in the GLP-1/obesity therapeutic area.</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Peer commentary from ICON (ICLR Q1 2026, reported June 24), Medpace (MEDP Q2 2026, reported July 22), Thermo Fisher (TMO Q2 2026, reported July 23), and Charles River (CRL Q1 2026, reported May 7) all point to a constructive CRO demand environment heading into IQV’s Q2 print — with RFP flow up meaningfully, cancellations well-behaved, and EBP funding broadly supportive. The most directly relevant read-through is Medpace’s Q2 2026 report (July 22), which showed 28% YoY net bookings growth and a 1.13x book-to-bill, providing a strong positive signal for IQV’s own Q2 bookings.</w:t>
      </w:r>
    </w:p>
    <w:p>
      <w:r>
        <w:rPr>
          <w:rFonts w:ascii="Calibri" w:hAnsi="Calibri"/>
          <w:i/>
          <w:color w:val="525866"/>
          <w:sz w:val="22"/>
        </w:rPr>
        <w:t>Note: Only commentary about Q2 2026 (the current reporting quarter for IQV) or forward-looking commentary made after Q1 2025 earnings is included. Prior-quarter results commentary has been excluded.</w:t>
      </w:r>
    </w:p>
    <w:p>
      <w:pPr>
        <w:pStyle w:val="Heading3"/>
      </w:pPr>
      <w:r>
        <w:rPr>
          <w:rFonts w:ascii="Calibri" w:hAnsi="Calibri"/>
          <w:b/>
          <w:color w:val="3B4259"/>
          <w:sz w:val="24"/>
        </w:rPr>
        <w:t>7.1 Medpace Holdings (MEDP) — Q2 2026 Earnings (Reported July 22, 2026)</w:t>
      </w:r>
    </w:p>
    <w:p>
      <w:r>
        <w:rPr>
          <w:rFonts w:ascii="Calibri" w:hAnsi="Calibri"/>
          <w:b/>
          <w:color w:val="525866"/>
          <w:sz w:val="22"/>
        </w:rPr>
        <w:t xml:space="preserve">Relevance: </w:t>
      </w:r>
      <w:r>
        <w:rPr>
          <w:rFonts w:ascii="Calibri" w:hAnsi="Calibri"/>
          <w:color w:val="525866"/>
          <w:sz w:val="22"/>
        </w:rPr>
        <w:t>Medpace is a pure-play CRO reporting Q2 2026 results just days before IQV — the most direct and timely read-through for IQV’s own Q2 bookings and demand environment.</w:t>
      </w:r>
    </w:p>
    <w:p>
      <w:pPr>
        <w:pStyle w:val="ListBullet"/>
        <w:ind w:left="360" w:hanging="360"/>
      </w:pPr>
      <w:r>
        <w:rPr>
          <w:rFonts w:ascii="Calibri" w:hAnsi="Calibri"/>
          <w:b/>
          <w:color w:val="525866"/>
          <w:sz w:val="22"/>
        </w:rPr>
        <w:t>Demand environment strong and constructive into July:</w:t>
      </w:r>
      <w:r>
        <w:rPr>
          <w:rFonts w:ascii="Calibri" w:hAnsi="Calibri"/>
          <w:color w:val="525866"/>
          <w:sz w:val="22"/>
        </w:rPr>
        <w:t xml:space="preserve"> “The business environment was strong in Q2 2026… The environment remains constructive into July.” RFPs were up meaningfully both sequentially and year-over-year, generating high-quality opportunities. </w:t>
      </w:r>
      <w:r>
        <w:rPr>
          <w:rFonts w:ascii="Calibri" w:hAnsi="Calibri"/>
          <w:i/>
          <w:color w:val="525866"/>
          <w:sz w:val="22"/>
        </w:rPr>
        <w:t>IQV read-through:</w:t>
      </w:r>
      <w:r>
        <w:rPr>
          <w:rFonts w:ascii="Calibri" w:hAnsi="Calibri"/>
          <w:color w:val="525866"/>
          <w:sz w:val="22"/>
        </w:rPr>
        <w:t xml:space="preserve"> Positive signal for IQV’s Q2 RFP flow and bookings.</w:t>
      </w:r>
    </w:p>
    <w:p>
      <w:pPr>
        <w:pStyle w:val="ListBullet"/>
        <w:ind w:left="360" w:hanging="360"/>
      </w:pPr>
      <w:r>
        <w:rPr>
          <w:rFonts w:ascii="Calibri" w:hAnsi="Calibri"/>
          <w:b/>
          <w:color w:val="525866"/>
          <w:sz w:val="22"/>
        </w:rPr>
        <w:t>Record net bookings, 1.13x book-to-bill:</w:t>
      </w:r>
      <w:r>
        <w:rPr>
          <w:rFonts w:ascii="Calibri" w:hAnsi="Calibri"/>
          <w:color w:val="525866"/>
          <w:sz w:val="22"/>
        </w:rPr>
        <w:t xml:space="preserve"> Net new business awards increased 28.2% YoY to $795.7M in Q2 2026, resulting in a 1.13x net book-to-bill. Cancellations were “well behaved” and came down significantly from Q1. </w:t>
      </w:r>
      <w:r>
        <w:rPr>
          <w:rFonts w:ascii="Calibri" w:hAnsi="Calibri"/>
          <w:i/>
          <w:color w:val="525866"/>
          <w:sz w:val="22"/>
        </w:rPr>
        <w:t>IQV read-through:</w:t>
      </w:r>
      <w:r>
        <w:rPr>
          <w:rFonts w:ascii="Calibri" w:hAnsi="Calibri"/>
          <w:color w:val="525866"/>
          <w:sz w:val="22"/>
        </w:rPr>
        <w:t xml:space="preserve"> Strongly positive for IQV’s Q2 book-to-bill, which consensus expects at ~1.08x. If the industry-wide cancellation improvement holds, IQV’s net bookings could surprise to the upside.</w:t>
      </w:r>
    </w:p>
    <w:p>
      <w:pPr>
        <w:pStyle w:val="ListBullet"/>
        <w:ind w:left="360" w:hanging="360"/>
      </w:pPr>
      <w:r>
        <w:rPr>
          <w:rFonts w:ascii="Calibri" w:hAnsi="Calibri"/>
          <w:b/>
          <w:color w:val="525866"/>
          <w:sz w:val="22"/>
        </w:rPr>
        <w:t>Oncology resurgence, cardiometabolic normalization:</w:t>
      </w:r>
      <w:r>
        <w:rPr>
          <w:rFonts w:ascii="Calibri" w:hAnsi="Calibri"/>
          <w:color w:val="525866"/>
          <w:sz w:val="22"/>
        </w:rPr>
        <w:t xml:space="preserve"> Oncology represented over half of Q2 bookings, with a “strong resurgence” in award notifications. Cardiometabolic programs “dropped off quite a bit” in new award notifications, signaling a shift back toward historical therapeutic mix. </w:t>
      </w:r>
      <w:r>
        <w:rPr>
          <w:rFonts w:ascii="Calibri" w:hAnsi="Calibri"/>
          <w:i/>
          <w:color w:val="525866"/>
          <w:sz w:val="22"/>
        </w:rPr>
        <w:t>IQV read-through:</w:t>
      </w:r>
      <w:r>
        <w:rPr>
          <w:rFonts w:ascii="Calibri" w:hAnsi="Calibri"/>
          <w:color w:val="525866"/>
          <w:sz w:val="22"/>
        </w:rPr>
        <w:t xml:space="preserve"> Neutral-to-positive for IQV; IQV’s R&amp;DS backlog is diversified across oncology and cardiometabolic, and an oncology resurgence supports long-term backlog quality.</w:t>
      </w:r>
    </w:p>
    <w:p>
      <w:pPr>
        <w:pStyle w:val="ListBullet"/>
        <w:ind w:left="360" w:hanging="360"/>
      </w:pPr>
      <w:r>
        <w:rPr>
          <w:rFonts w:ascii="Calibri" w:hAnsi="Calibri"/>
          <w:b/>
          <w:color w:val="525866"/>
          <w:sz w:val="22"/>
        </w:rPr>
        <w:t>Broader funding environment, more clients moving programs forward:</w:t>
      </w:r>
      <w:r>
        <w:rPr>
          <w:rFonts w:ascii="Calibri" w:hAnsi="Calibri"/>
          <w:color w:val="525866"/>
          <w:sz w:val="22"/>
        </w:rPr>
        <w:t xml:space="preserve"> “Funding has been a lot broader rather than just a few companies getting quite a bit more money.” More clients with recent funding are moving programs forward, improving trajectory. </w:t>
      </w:r>
      <w:r>
        <w:rPr>
          <w:rFonts w:ascii="Calibri" w:hAnsi="Calibri"/>
          <w:i/>
          <w:color w:val="525866"/>
          <w:sz w:val="22"/>
        </w:rPr>
        <w:t>IQV read-through:</w:t>
      </w:r>
      <w:r>
        <w:rPr>
          <w:rFonts w:ascii="Calibri" w:hAnsi="Calibri"/>
          <w:color w:val="525866"/>
          <w:sz w:val="22"/>
        </w:rPr>
        <w:t xml:space="preserve"> Consistent with IQV management’s April EBP funding disclosure (~3x April 2025); supports the view that EBP bookings growth will remain strong double-digit in Q2.</w:t>
      </w:r>
    </w:p>
    <w:p>
      <w:pPr>
        <w:pStyle w:val="ListBullet"/>
        <w:ind w:left="360" w:hanging="360"/>
      </w:pPr>
      <w:r>
        <w:rPr>
          <w:rFonts w:ascii="Calibri" w:hAnsi="Calibri"/>
          <w:b/>
          <w:color w:val="525866"/>
          <w:sz w:val="22"/>
        </w:rPr>
        <w:t>Gross bookings expected to ramp significantly in H2:</w:t>
      </w:r>
      <w:r>
        <w:rPr>
          <w:rFonts w:ascii="Calibri" w:hAnsi="Calibri"/>
          <w:color w:val="525866"/>
          <w:sz w:val="22"/>
        </w:rPr>
        <w:t xml:space="preserve"> Management guided to a meaningful ramp in gross bookings in H2 2026, which should translate to net bookings assuming cancellations remain in range. </w:t>
      </w:r>
      <w:r>
        <w:rPr>
          <w:rFonts w:ascii="Calibri" w:hAnsi="Calibri"/>
          <w:i/>
          <w:color w:val="525866"/>
          <w:sz w:val="22"/>
        </w:rPr>
        <w:t>IQV read-through:</w:t>
      </w:r>
      <w:r>
        <w:rPr>
          <w:rFonts w:ascii="Calibri" w:hAnsi="Calibri"/>
          <w:color w:val="525866"/>
          <w:sz w:val="22"/>
        </w:rPr>
        <w:t xml:space="preserve"> Positive for IQV’s FY 2026 bookings trajectory and NTM backlog revenue growth.</w:t>
      </w:r>
    </w:p>
    <w:p>
      <w:pPr>
        <w:pStyle w:val="ListBullet"/>
        <w:ind w:left="360" w:hanging="360"/>
      </w:pPr>
      <w:r>
        <w:rPr>
          <w:rFonts w:ascii="Calibri" w:hAnsi="Calibri"/>
          <w:b/>
          <w:color w:val="525866"/>
          <w:sz w:val="22"/>
        </w:rPr>
        <w:t>Full-year 2026 guidance raised:</w:t>
      </w:r>
      <w:r>
        <w:rPr>
          <w:rFonts w:ascii="Calibri" w:hAnsi="Calibri"/>
          <w:color w:val="525866"/>
          <w:sz w:val="22"/>
        </w:rPr>
        <w:t xml:space="preserve"> MEDP raised FY 2026 revenue guidance to $2.805–$2.885B (10.9%–14% growth) and EPS to $17.25–$17.95. </w:t>
      </w:r>
      <w:r>
        <w:rPr>
          <w:rFonts w:ascii="Calibri" w:hAnsi="Calibri"/>
          <w:i/>
          <w:color w:val="525866"/>
          <w:sz w:val="22"/>
        </w:rPr>
        <w:t>IQV read-through:</w:t>
      </w:r>
      <w:r>
        <w:rPr>
          <w:rFonts w:ascii="Calibri" w:hAnsi="Calibri"/>
          <w:color w:val="525866"/>
          <w:sz w:val="22"/>
        </w:rPr>
        <w:t xml:space="preserve"> Positive sector signal; a pure-play CRO raising guidance is a strong read-through for IQV’s own guidance trajectory.</w:t>
      </w:r>
    </w:p>
    <w:p>
      <w:pPr>
        <w:pStyle w:val="Heading3"/>
      </w:pPr>
      <w:r>
        <w:rPr>
          <w:rFonts w:ascii="Calibri" w:hAnsi="Calibri"/>
          <w:b/>
          <w:color w:val="3B4259"/>
          <w:sz w:val="24"/>
        </w:rPr>
        <w:t>7.2 ICON plc (ICLR) — Q1 2026 Earnings (Reported June 24, 2026)</w:t>
      </w:r>
    </w:p>
    <w:p>
      <w:r>
        <w:rPr>
          <w:rFonts w:ascii="Calibri" w:hAnsi="Calibri"/>
          <w:b/>
          <w:color w:val="525866"/>
          <w:sz w:val="22"/>
        </w:rPr>
        <w:t xml:space="preserve">Relevance: </w:t>
      </w:r>
      <w:r>
        <w:rPr>
          <w:rFonts w:ascii="Calibri" w:hAnsi="Calibri"/>
          <w:color w:val="525866"/>
          <w:sz w:val="22"/>
        </w:rPr>
        <w:t>ICON is IQV’s closest large-cap CRO peer. Its Q1 2026 results (reported June 24, covering the calendar quarter ending March 2026) include forward-looking commentary directly relevant to IQV’s Q2 2026 period.</w:t>
      </w:r>
    </w:p>
    <w:p>
      <w:pPr>
        <w:pStyle w:val="ListBullet"/>
        <w:ind w:left="360" w:hanging="360"/>
      </w:pPr>
      <w:r>
        <w:rPr>
          <w:rFonts w:ascii="Calibri" w:hAnsi="Calibri"/>
          <w:b/>
          <w:color w:val="525866"/>
          <w:sz w:val="22"/>
        </w:rPr>
        <w:t>Demand environment “relatively more benign than a year ago”:</w:t>
      </w:r>
      <w:r>
        <w:rPr>
          <w:rFonts w:ascii="Calibri" w:hAnsi="Calibri"/>
          <w:color w:val="525866"/>
          <w:sz w:val="22"/>
        </w:rPr>
        <w:t xml:space="preserve"> CEO Barry Bell stated the overall demand environment “seems relatively more benign than it did a year ago,” with large pharma customers continuing to invest in clinical pipelines and “encouraging deal flow suggestive of incremental opportunity.” </w:t>
      </w:r>
      <w:r>
        <w:rPr>
          <w:rFonts w:ascii="Calibri" w:hAnsi="Calibri"/>
          <w:i/>
          <w:color w:val="525866"/>
          <w:sz w:val="22"/>
        </w:rPr>
        <w:t>IQV read-through:</w:t>
      </w:r>
      <w:r>
        <w:rPr>
          <w:rFonts w:ascii="Calibri" w:hAnsi="Calibri"/>
          <w:color w:val="525866"/>
          <w:sz w:val="22"/>
        </w:rPr>
        <w:t xml:space="preserve"> Consistent with IQV management’s characterization of large pharma as “much more constructive” in Q1 2026.</w:t>
      </w:r>
    </w:p>
    <w:p>
      <w:pPr>
        <w:pStyle w:val="ListBullet"/>
        <w:ind w:left="360" w:hanging="360"/>
      </w:pPr>
      <w:r>
        <w:rPr>
          <w:rFonts w:ascii="Calibri" w:hAnsi="Calibri"/>
          <w:b/>
          <w:color w:val="525866"/>
          <w:sz w:val="22"/>
        </w:rPr>
        <w:t>Gross bookings up 22% YoY; net book-to-bill of 1.42x:</w:t>
      </w:r>
      <w:r>
        <w:rPr>
          <w:rFonts w:ascii="Calibri" w:hAnsi="Calibri"/>
          <w:color w:val="525866"/>
          <w:sz w:val="22"/>
        </w:rPr>
        <w:t xml:space="preserve"> Q1 gross bookings of $3.3B matched Q4 2025’s strong performance and were up 22% YoY. Net book-to-bill of 1.42x (fee basis &gt;1.3x). Cancellations of $383M were in line with improved Q4 levels. </w:t>
      </w:r>
      <w:r>
        <w:rPr>
          <w:rFonts w:ascii="Calibri" w:hAnsi="Calibri"/>
          <w:i/>
          <w:color w:val="525866"/>
          <w:sz w:val="22"/>
        </w:rPr>
        <w:t>IQV read-through:</w:t>
      </w:r>
      <w:r>
        <w:rPr>
          <w:rFonts w:ascii="Calibri" w:hAnsi="Calibri"/>
          <w:color w:val="525866"/>
          <w:sz w:val="22"/>
        </w:rPr>
        <w:t xml:space="preserve"> Strongly positive for the CRO demand environment; ICON’s 1.42x book-to-bill is well above IQV’s Q1 1.04x (which was distorted by pass-through mix), suggesting IQV’s underlying demand is stronger than the headline ratio implied.</w:t>
      </w:r>
    </w:p>
    <w:p>
      <w:pPr>
        <w:pStyle w:val="ListBullet"/>
        <w:ind w:left="360" w:hanging="360"/>
      </w:pPr>
      <w:r>
        <w:rPr>
          <w:rFonts w:ascii="Calibri" w:hAnsi="Calibri"/>
          <w:b/>
          <w:color w:val="525866"/>
          <w:sz w:val="22"/>
        </w:rPr>
        <w:t>Q2 expected to be “a very strong quarter for signings”:</w:t>
      </w:r>
      <w:r>
        <w:rPr>
          <w:rFonts w:ascii="Calibri" w:hAnsi="Calibri"/>
          <w:color w:val="525866"/>
          <w:sz w:val="22"/>
        </w:rPr>
        <w:t xml:space="preserve"> CFO Nigel Clarkin stated: “Q2 is looking like a very strong quarter for signing, so I’d expect a significant shift in that number in the Q2 print.” </w:t>
      </w:r>
      <w:r>
        <w:rPr>
          <w:rFonts w:ascii="Calibri" w:hAnsi="Calibri"/>
          <w:i/>
          <w:color w:val="525866"/>
          <w:sz w:val="22"/>
        </w:rPr>
        <w:t>IQV read-through:</w:t>
      </w:r>
      <w:r>
        <w:rPr>
          <w:rFonts w:ascii="Calibri" w:hAnsi="Calibri"/>
          <w:color w:val="525866"/>
          <w:sz w:val="22"/>
        </w:rPr>
        <w:t xml:space="preserve"> Direct positive read-through for IQV’s Q2 book-to-bill; if ICON is seeing a strong Q2 signings environment, IQV likely is too.</w:t>
      </w:r>
    </w:p>
    <w:p>
      <w:pPr>
        <w:pStyle w:val="ListBullet"/>
        <w:ind w:left="360" w:hanging="360"/>
      </w:pPr>
      <w:r>
        <w:rPr>
          <w:rFonts w:ascii="Calibri" w:hAnsi="Calibri"/>
          <w:b/>
          <w:color w:val="525866"/>
          <w:sz w:val="22"/>
        </w:rPr>
        <w:t>EBP RFP flow up low double digits sequentially:</w:t>
      </w:r>
      <w:r>
        <w:rPr>
          <w:rFonts w:ascii="Calibri" w:hAnsi="Calibri"/>
          <w:color w:val="525866"/>
          <w:sz w:val="22"/>
        </w:rPr>
        <w:t xml:space="preserve"> RFP flow in the biotech full-service business increased low double digits sequentially in Q1. Win rates remained strong in both large pharma and biotech, sustaining the Q4 step-up. </w:t>
      </w:r>
      <w:r>
        <w:rPr>
          <w:rFonts w:ascii="Calibri" w:hAnsi="Calibri"/>
          <w:i/>
          <w:color w:val="525866"/>
          <w:sz w:val="22"/>
        </w:rPr>
        <w:t>IQV read-through:</w:t>
      </w:r>
      <w:r>
        <w:rPr>
          <w:rFonts w:ascii="Calibri" w:hAnsi="Calibri"/>
          <w:color w:val="525866"/>
          <w:sz w:val="22"/>
        </w:rPr>
        <w:t xml:space="preserve"> Positive for IQV’s EBP bookings, which management noted were growing strong double digits in Q1 2026.</w:t>
      </w:r>
    </w:p>
    <w:p>
      <w:pPr>
        <w:pStyle w:val="ListBullet"/>
        <w:ind w:left="360" w:hanging="360"/>
      </w:pPr>
      <w:r>
        <w:rPr>
          <w:rFonts w:ascii="Calibri" w:hAnsi="Calibri"/>
          <w:b/>
          <w:color w:val="525866"/>
          <w:sz w:val="22"/>
        </w:rPr>
        <w:t>FSP mix creating margin pressure but bookings mix improving:</w:t>
      </w:r>
      <w:r>
        <w:rPr>
          <w:rFonts w:ascii="Calibri" w:hAnsi="Calibri"/>
          <w:color w:val="525866"/>
          <w:sz w:val="22"/>
        </w:rPr>
        <w:t xml:space="preserve"> “The disproportionate presence of FSP is a comment on revenue in the quarter; book-to-bill is honestly the opposite, with strong book-to-bills ex-FSP.” FSP revenue growth is creating margin pressure. </w:t>
      </w:r>
      <w:r>
        <w:rPr>
          <w:rFonts w:ascii="Calibri" w:hAnsi="Calibri"/>
          <w:i/>
          <w:color w:val="525866"/>
          <w:sz w:val="22"/>
        </w:rPr>
        <w:t>IQV read-through:</w:t>
      </w:r>
      <w:r>
        <w:rPr>
          <w:rFonts w:ascii="Calibri" w:hAnsi="Calibri"/>
          <w:color w:val="525866"/>
          <w:sz w:val="22"/>
        </w:rPr>
        <w:t xml:space="preserve"> Directly validates IQV management’s Q1 explanation that the 1.04x book-to-bill was a pass-through/mix artifact, not a demand signal. Also consistent with IQV’s disclosure that FSP share of recent bookings is running below backlog share.</w:t>
      </w:r>
    </w:p>
    <w:p>
      <w:pPr>
        <w:pStyle w:val="ListBullet"/>
        <w:ind w:left="360" w:hanging="360"/>
      </w:pPr>
      <w:r>
        <w:rPr>
          <w:rFonts w:ascii="Calibri" w:hAnsi="Calibri"/>
          <w:b/>
          <w:color w:val="525866"/>
          <w:sz w:val="22"/>
        </w:rPr>
        <w:t>Full-year 2026 guidance unchanged; Q2 EBITDA margin guided to ~16%:</w:t>
      </w:r>
      <w:r>
        <w:rPr>
          <w:rFonts w:ascii="Calibri" w:hAnsi="Calibri"/>
          <w:color w:val="525866"/>
          <w:sz w:val="22"/>
        </w:rPr>
        <w:t xml:space="preserve"> ICON maintained FY 2026 revenue guidance of $7.85–$8.15B and adj. EPS of $10–$11. Q2 EBITDA margin guided to ~16%, with modest sequential improvement expected throughout the year. </w:t>
      </w:r>
      <w:r>
        <w:rPr>
          <w:rFonts w:ascii="Calibri" w:hAnsi="Calibri"/>
          <w:i/>
          <w:color w:val="525866"/>
          <w:sz w:val="22"/>
        </w:rPr>
        <w:t>IQV read-through:</w:t>
      </w:r>
      <w:r>
        <w:rPr>
          <w:rFonts w:ascii="Calibri" w:hAnsi="Calibri"/>
          <w:color w:val="525866"/>
          <w:sz w:val="22"/>
        </w:rPr>
        <w:t xml:space="preserve"> Neutral; ICON’s margin profile is structurally lower than IQV’s, but the sequential improvement trajectory is consistent with IQV’s own margin recovery narrative.</w:t>
      </w:r>
    </w:p>
    <w:p>
      <w:pPr>
        <w:pStyle w:val="Heading3"/>
      </w:pPr>
      <w:r>
        <w:rPr>
          <w:rFonts w:ascii="Calibri" w:hAnsi="Calibri"/>
          <w:b/>
          <w:color w:val="3B4259"/>
          <w:sz w:val="24"/>
        </w:rPr>
        <w:t>7.3 Thermo Fisher Scientific (TMO) — Q2 2026 Earnings (Reported July 23, 2026)</w:t>
      </w:r>
    </w:p>
    <w:p>
      <w:r>
        <w:rPr>
          <w:rFonts w:ascii="Calibri" w:hAnsi="Calibri"/>
          <w:b/>
          <w:color w:val="525866"/>
          <w:sz w:val="22"/>
        </w:rPr>
        <w:t xml:space="preserve">Relevance: </w:t>
      </w:r>
      <w:r>
        <w:rPr>
          <w:rFonts w:ascii="Calibri" w:hAnsi="Calibri"/>
          <w:color w:val="525866"/>
          <w:sz w:val="22"/>
        </w:rPr>
        <w:t>Thermo Fisher’s clinical research business (including the recently acquired Clario) is a direct CRO competitor. TMO’s Q2 2026 results (reported July 23) provide the most current read on pharma/biotech spending trends heading into IQV’s July 28 print.</w:t>
      </w:r>
    </w:p>
    <w:p>
      <w:pPr>
        <w:pStyle w:val="ListBullet"/>
        <w:ind w:left="360" w:hanging="360"/>
      </w:pPr>
      <w:r>
        <w:rPr>
          <w:rFonts w:ascii="Calibri" w:hAnsi="Calibri"/>
          <w:b/>
          <w:color w:val="525866"/>
          <w:sz w:val="22"/>
        </w:rPr>
        <w:t>Clinical research business had an “excellent quarter” with strong organic growth:</w:t>
      </w:r>
      <w:r>
        <w:rPr>
          <w:rFonts w:ascii="Calibri" w:hAnsi="Calibri"/>
          <w:color w:val="525866"/>
          <w:sz w:val="22"/>
        </w:rPr>
        <w:t xml:space="preserve"> TMO’s clinical research business showed “strong organic growth in both revenue and authorizations.” Market conditions for clinical research are improving, and management anticipates “a really good year” in clinical research. </w:t>
      </w:r>
      <w:r>
        <w:rPr>
          <w:rFonts w:ascii="Calibri" w:hAnsi="Calibri"/>
          <w:i/>
          <w:color w:val="525866"/>
          <w:sz w:val="22"/>
        </w:rPr>
        <w:t>IQV read-through:</w:t>
      </w:r>
      <w:r>
        <w:rPr>
          <w:rFonts w:ascii="Calibri" w:hAnsi="Calibri"/>
          <w:color w:val="525866"/>
          <w:sz w:val="22"/>
        </w:rPr>
        <w:t xml:space="preserve"> Positive for IQV’s R&amp;DS revenue growth in Q2.</w:t>
      </w:r>
    </w:p>
    <w:p>
      <w:pPr>
        <w:pStyle w:val="ListBullet"/>
        <w:ind w:left="360" w:hanging="360"/>
      </w:pPr>
      <w:r>
        <w:rPr>
          <w:rFonts w:ascii="Calibri" w:hAnsi="Calibri"/>
          <w:b/>
          <w:color w:val="525866"/>
          <w:sz w:val="22"/>
        </w:rPr>
        <w:t>Pharma and biotech spending grew mid-single digits; H2 expected to be “a little better”:</w:t>
      </w:r>
      <w:r>
        <w:rPr>
          <w:rFonts w:ascii="Calibri" w:hAnsi="Calibri"/>
          <w:color w:val="525866"/>
          <w:sz w:val="22"/>
        </w:rPr>
        <w:t xml:space="preserve"> Customer activity continued to strengthen across end markets, with pharma and biotech delivering mid-single digit growth. Management guided H2 pharma/biotech spending to be “a little better” than Q2. </w:t>
      </w:r>
      <w:r>
        <w:rPr>
          <w:rFonts w:ascii="Calibri" w:hAnsi="Calibri"/>
          <w:i/>
          <w:color w:val="525866"/>
          <w:sz w:val="22"/>
        </w:rPr>
        <w:t>IQV read-through:</w:t>
      </w:r>
      <w:r>
        <w:rPr>
          <w:rFonts w:ascii="Calibri" w:hAnsi="Calibri"/>
          <w:color w:val="525866"/>
          <w:sz w:val="22"/>
        </w:rPr>
        <w:t xml:space="preserve"> Positive for IQV’s Q2 revenue and constructive for H2 2026 guidance.</w:t>
      </w:r>
    </w:p>
    <w:p>
      <w:pPr>
        <w:pStyle w:val="ListBullet"/>
        <w:ind w:left="360" w:hanging="360"/>
      </w:pPr>
      <w:r>
        <w:rPr>
          <w:rFonts w:ascii="Calibri" w:hAnsi="Calibri"/>
          <w:b/>
          <w:color w:val="525866"/>
          <w:sz w:val="22"/>
        </w:rPr>
        <w:t>Biotech activity in authorizations picking up for several quarters:</w:t>
      </w:r>
      <w:r>
        <w:rPr>
          <w:rFonts w:ascii="Calibri" w:hAnsi="Calibri"/>
          <w:color w:val="525866"/>
          <w:sz w:val="22"/>
        </w:rPr>
        <w:t xml:space="preserve"> “Biotech activity in authorizations has been picking up for a few quarters,” with a typical “six-month lag or so from authorizations to revenue.” </w:t>
      </w:r>
      <w:r>
        <w:rPr>
          <w:rFonts w:ascii="Calibri" w:hAnsi="Calibri"/>
          <w:i/>
          <w:color w:val="525866"/>
          <w:sz w:val="22"/>
        </w:rPr>
        <w:t>IQV read-through:</w:t>
      </w:r>
      <w:r>
        <w:rPr>
          <w:rFonts w:ascii="Calibri" w:hAnsi="Calibri"/>
          <w:color w:val="525866"/>
          <w:sz w:val="22"/>
        </w:rPr>
        <w:t xml:space="preserve"> Consistent with IQV’s EBP funding data; the lag dynamic suggests EBP bookings strength in Q1–Q2 2026 will translate to R&amp;DS revenue acceleration in H2 2026–H1 2027.</w:t>
      </w:r>
    </w:p>
    <w:p>
      <w:pPr>
        <w:pStyle w:val="ListBullet"/>
        <w:ind w:left="360" w:hanging="360"/>
      </w:pPr>
      <w:r>
        <w:rPr>
          <w:rFonts w:ascii="Calibri" w:hAnsi="Calibri"/>
          <w:b/>
          <w:color w:val="525866"/>
          <w:sz w:val="22"/>
        </w:rPr>
        <w:t>Large pharma “quite positive” on pipelines; have “their arms around” macro headwinds:</w:t>
      </w:r>
      <w:r>
        <w:rPr>
          <w:rFonts w:ascii="Calibri" w:hAnsi="Calibri"/>
          <w:color w:val="525866"/>
          <w:sz w:val="22"/>
        </w:rPr>
        <w:t xml:space="preserve"> Large pharma customers are “quite positive” and excited about their pipelines. They feel “very good about the outlook” for navigating IRA, MFN, and tariff headwinds. </w:t>
      </w:r>
      <w:r>
        <w:rPr>
          <w:rFonts w:ascii="Calibri" w:hAnsi="Calibri"/>
          <w:i/>
          <w:color w:val="525866"/>
          <w:sz w:val="22"/>
        </w:rPr>
        <w:t>IQV read-through:</w:t>
      </w:r>
      <w:r>
        <w:rPr>
          <w:rFonts w:ascii="Calibri" w:hAnsi="Calibri"/>
          <w:color w:val="525866"/>
          <w:sz w:val="22"/>
        </w:rPr>
        <w:t xml:space="preserve"> Positive for IQV’s large pharma R&amp;DS and commercial demand; consistent with IQV management’s characterization of large pharma as “much more constructive.”</w:t>
      </w:r>
    </w:p>
    <w:p>
      <w:pPr>
        <w:pStyle w:val="ListBullet"/>
        <w:ind w:left="360" w:hanging="360"/>
      </w:pPr>
      <w:r>
        <w:rPr>
          <w:rFonts w:ascii="Calibri" w:hAnsi="Calibri"/>
          <w:b/>
          <w:color w:val="525866"/>
          <w:sz w:val="22"/>
        </w:rPr>
        <w:t>Full-year 2026 guidance raised; Q2 revenue ~$300M ahead of prior guidance:</w:t>
      </w:r>
      <w:r>
        <w:rPr>
          <w:rFonts w:ascii="Calibri" w:hAnsi="Calibri"/>
          <w:color w:val="525866"/>
          <w:sz w:val="22"/>
        </w:rPr>
        <w:t xml:space="preserve"> TMO raised FY 2026 revenue guidance to $47.4–$48.1B (6–8% growth) and adj. EPS to $24.93–$25.33. Q2 revenue was ~$300M ahead of prior guidance, including 2% stronger organic growth. </w:t>
      </w:r>
      <w:r>
        <w:rPr>
          <w:rFonts w:ascii="Calibri" w:hAnsi="Calibri"/>
          <w:i/>
          <w:color w:val="525866"/>
          <w:sz w:val="22"/>
        </w:rPr>
        <w:t>IQV read-through:</w:t>
      </w:r>
      <w:r>
        <w:rPr>
          <w:rFonts w:ascii="Calibri" w:hAnsi="Calibri"/>
          <w:color w:val="525866"/>
          <w:sz w:val="22"/>
        </w:rPr>
        <w:t xml:space="preserve"> Positive sector signal; a large diversified life sciences company raising guidance on pharma/biotech strength is a constructive read-through for IQV.</w:t>
      </w:r>
    </w:p>
    <w:p>
      <w:pPr>
        <w:pStyle w:val="Heading3"/>
      </w:pPr>
      <w:r>
        <w:rPr>
          <w:rFonts w:ascii="Calibri" w:hAnsi="Calibri"/>
          <w:b/>
          <w:color w:val="3B4259"/>
          <w:sz w:val="24"/>
        </w:rPr>
        <w:t>7.4 Charles River Laboratories (CRL) — Q1 2026 Earnings (Reported May 7, 2026)</w:t>
      </w:r>
    </w:p>
    <w:p>
      <w:r>
        <w:rPr>
          <w:rFonts w:ascii="Calibri" w:hAnsi="Calibri"/>
          <w:b/>
          <w:color w:val="525866"/>
          <w:sz w:val="22"/>
        </w:rPr>
        <w:t xml:space="preserve">Relevance: </w:t>
      </w:r>
      <w:r>
        <w:rPr>
          <w:rFonts w:ascii="Calibri" w:hAnsi="Calibri"/>
          <w:color w:val="525866"/>
          <w:sz w:val="22"/>
        </w:rPr>
        <w:t>Charles River is a preclinical CRO and the seller of the European discovery assets IQV is acquiring. CRL’s Q1 2026 results (reported May 7) provide commentary on early-stage pharma/biotech demand trends that are upstream of IQV’s clinical CRO business, and include forward-looking Q2 2026 guidance.</w:t>
      </w:r>
    </w:p>
    <w:p>
      <w:pPr>
        <w:pStyle w:val="ListBullet"/>
        <w:ind w:left="360" w:hanging="360"/>
      </w:pPr>
      <w:r>
        <w:rPr>
          <w:rFonts w:ascii="Calibri" w:hAnsi="Calibri"/>
          <w:b/>
          <w:color w:val="525866"/>
          <w:sz w:val="22"/>
        </w:rPr>
        <w:t>Biopharma demand stabilized; “pockets of improvement” for both large pharma and biotech:</w:t>
      </w:r>
      <w:r>
        <w:rPr>
          <w:rFonts w:ascii="Calibri" w:hAnsi="Calibri"/>
          <w:color w:val="525866"/>
          <w:sz w:val="22"/>
        </w:rPr>
        <w:t xml:space="preserve"> “The overall biopharma demand environment stabilized last year, and we are currently seeing pockets of improvement for both global biopharmaceutical and small and mid-sized biotechnology clients.” Many large pharma clients have “progressed through their restructuring and pipeline reprioritization activities.” </w:t>
      </w:r>
      <w:r>
        <w:rPr>
          <w:rFonts w:ascii="Calibri" w:hAnsi="Calibri"/>
          <w:i/>
          <w:color w:val="525866"/>
          <w:sz w:val="22"/>
        </w:rPr>
        <w:t>IQV read-through:</w:t>
      </w:r>
      <w:r>
        <w:rPr>
          <w:rFonts w:ascii="Calibri" w:hAnsi="Calibri"/>
          <w:color w:val="525866"/>
          <w:sz w:val="22"/>
        </w:rPr>
        <w:t xml:space="preserve"> Consistent with IQV’s characterization of large pharma reprioritization as “essentially completed.” Positive for IQV’s R&amp;DS demand.</w:t>
      </w:r>
    </w:p>
    <w:p>
      <w:pPr>
        <w:pStyle w:val="ListBullet"/>
        <w:ind w:left="360" w:hanging="360"/>
      </w:pPr>
      <w:r>
        <w:rPr>
          <w:rFonts w:ascii="Calibri" w:hAnsi="Calibri"/>
          <w:b/>
          <w:color w:val="525866"/>
          <w:sz w:val="22"/>
        </w:rPr>
        <w:t>Biotech demand improved over past two quarters; mid-sized biotechs have better capital access:</w:t>
      </w:r>
      <w:r>
        <w:rPr>
          <w:rFonts w:ascii="Calibri" w:hAnsi="Calibri"/>
          <w:color w:val="525866"/>
          <w:sz w:val="22"/>
        </w:rPr>
        <w:t xml:space="preserve"> Demand from biotech clients improved over the past two quarters due to a “reinvigorated funding environment.” Mid-sized and more mature biotechs have better access to capital. However, demand from start-up biotechs remains “tepid” as earlier-stage/seed funding remains constrained. </w:t>
      </w:r>
      <w:r>
        <w:rPr>
          <w:rFonts w:ascii="Calibri" w:hAnsi="Calibri"/>
          <w:i/>
          <w:color w:val="525866"/>
          <w:sz w:val="22"/>
        </w:rPr>
        <w:t>IQV read-through:</w:t>
      </w:r>
      <w:r>
        <w:rPr>
          <w:rFonts w:ascii="Calibri" w:hAnsi="Calibri"/>
          <w:color w:val="525866"/>
          <w:sz w:val="22"/>
        </w:rPr>
        <w:t xml:space="preserve"> Nuanced — IQV’s EBP bookings are concentrated in later-stage biotechs (Phase 2–3), where funding is stronger. The tepid early-stage environment is less relevant to IQV’s near-term bookings.</w:t>
      </w:r>
    </w:p>
    <w:p>
      <w:pPr>
        <w:pStyle w:val="ListBullet"/>
        <w:ind w:left="360" w:hanging="360"/>
      </w:pPr>
      <w:r>
        <w:rPr>
          <w:rFonts w:ascii="Calibri" w:hAnsi="Calibri"/>
          <w:b/>
          <w:color w:val="525866"/>
          <w:sz w:val="22"/>
        </w:rPr>
        <w:t>Proposal activity up high single digits YoY for both pharma and biotech; sequential increase for 3 quarters:</w:t>
      </w:r>
      <w:r>
        <w:rPr>
          <w:rFonts w:ascii="Calibri" w:hAnsi="Calibri"/>
          <w:color w:val="525866"/>
          <w:sz w:val="22"/>
        </w:rPr>
        <w:t xml:space="preserve"> Proposal activity posted a “healthy increase” in Q1, with year-over-year increases in the “high single digits” for both segments. Sequentially, proposals have increased for “3 quarters in a row.” </w:t>
      </w:r>
      <w:r>
        <w:rPr>
          <w:rFonts w:ascii="Calibri" w:hAnsi="Calibri"/>
          <w:i/>
          <w:color w:val="525866"/>
          <w:sz w:val="22"/>
        </w:rPr>
        <w:t>IQV read-through:</w:t>
      </w:r>
      <w:r>
        <w:rPr>
          <w:rFonts w:ascii="Calibri" w:hAnsi="Calibri"/>
          <w:color w:val="525866"/>
          <w:sz w:val="22"/>
        </w:rPr>
        <w:t xml:space="preserve"> Positive for IQV’s RFP flow trajectory; consistent with IQV’s own high-single-digit RFP flow growth in Q1 2026.</w:t>
      </w:r>
    </w:p>
    <w:p>
      <w:pPr>
        <w:pStyle w:val="ListBullet"/>
        <w:ind w:left="360" w:hanging="360"/>
      </w:pPr>
      <w:r>
        <w:rPr>
          <w:rFonts w:ascii="Calibri" w:hAnsi="Calibri"/>
          <w:b/>
          <w:color w:val="525866"/>
          <w:sz w:val="22"/>
        </w:rPr>
        <w:t>Large pharma focused on “speeding up work, getting more programs through the pipeline”:</w:t>
      </w:r>
      <w:r>
        <w:rPr>
          <w:rFonts w:ascii="Calibri" w:hAnsi="Calibri"/>
          <w:color w:val="525866"/>
          <w:sz w:val="22"/>
        </w:rPr>
        <w:t xml:space="preserve"> Discussions with large pharma clients indicate a focus on accelerating programs rather than holds and reprioritization. Clients want to achieve this “with the same budget,” but there is a clear “refocus on preclinical and earlier-stage efforts.” </w:t>
      </w:r>
      <w:r>
        <w:rPr>
          <w:rFonts w:ascii="Calibri" w:hAnsi="Calibri"/>
          <w:i/>
          <w:color w:val="525866"/>
          <w:sz w:val="22"/>
        </w:rPr>
        <w:t>IQV read-through:</w:t>
      </w:r>
      <w:r>
        <w:rPr>
          <w:rFonts w:ascii="Calibri" w:hAnsi="Calibri"/>
          <w:color w:val="525866"/>
          <w:sz w:val="22"/>
        </w:rPr>
        <w:t xml:space="preserve"> Positive for IQV’s R&amp;DS demand; the focus on pipeline acceleration is a structural tailwind for CRO outsourcing.</w:t>
      </w:r>
    </w:p>
    <w:p>
      <w:pPr>
        <w:pStyle w:val="ListBullet"/>
        <w:ind w:left="360" w:hanging="360"/>
      </w:pPr>
      <w:r>
        <w:rPr>
          <w:rFonts w:ascii="Calibri" w:hAnsi="Calibri"/>
          <w:b/>
          <w:color w:val="525866"/>
          <w:sz w:val="22"/>
        </w:rPr>
        <w:t>AI expected to increase IND approvals and reinvest efficiencies in R&amp;D:</w:t>
      </w:r>
      <w:r>
        <w:rPr>
          <w:rFonts w:ascii="Calibri" w:hAnsi="Calibri"/>
          <w:color w:val="525866"/>
          <w:sz w:val="22"/>
        </w:rPr>
        <w:t xml:space="preserve"> CRL cited a Deloitte survey showing “nearly 60% of surveyed biopharma R&amp;D executives expect AI and lab automation investments will result in an increase in IND approvals.” CRL views AI as an “exciting but gradual evolution.” </w:t>
      </w:r>
      <w:r>
        <w:rPr>
          <w:rFonts w:ascii="Calibri" w:hAnsi="Calibri"/>
          <w:i/>
          <w:color w:val="525866"/>
          <w:sz w:val="22"/>
        </w:rPr>
        <w:t>IQV read-through:</w:t>
      </w:r>
      <w:r>
        <w:rPr>
          <w:rFonts w:ascii="Calibri" w:hAnsi="Calibri"/>
          <w:color w:val="525866"/>
          <w:sz w:val="22"/>
        </w:rPr>
        <w:t xml:space="preserve"> Consistent with IQV management’s view that AI is a demand creator for CRO services, not a disruptor. Validates IQV’s upstream drug discovery expansion strategy.</w:t>
      </w:r>
    </w:p>
    <w:p>
      <w:pPr>
        <w:pStyle w:val="ListBullet"/>
        <w:ind w:left="360" w:hanging="360"/>
      </w:pPr>
      <w:r>
        <w:rPr>
          <w:rFonts w:ascii="Calibri" w:hAnsi="Calibri"/>
          <w:b/>
          <w:color w:val="525866"/>
          <w:sz w:val="22"/>
        </w:rPr>
        <w:t>Q2 2026 guidance: organic revenue to decline low single digits YoY; EPS to improve ≥30% sequentially:</w:t>
      </w:r>
      <w:r>
        <w:rPr>
          <w:rFonts w:ascii="Calibri" w:hAnsi="Calibri"/>
          <w:color w:val="525866"/>
          <w:sz w:val="22"/>
        </w:rPr>
        <w:t xml:space="preserve"> CRL guided Q2 organic revenue to decline at a low single-digit rate YoY (similar to Q1), with EPS improving at least 30% sequentially from Q1’s $2.06. </w:t>
      </w:r>
      <w:r>
        <w:rPr>
          <w:rFonts w:ascii="Calibri" w:hAnsi="Calibri"/>
          <w:i/>
          <w:color w:val="525866"/>
          <w:sz w:val="22"/>
        </w:rPr>
        <w:t>IQV read-through:</w:t>
      </w:r>
      <w:r>
        <w:rPr>
          <w:rFonts w:ascii="Calibri" w:hAnsi="Calibri"/>
          <w:color w:val="525866"/>
          <w:sz w:val="22"/>
        </w:rPr>
        <w:t xml:space="preserve"> CRL’s ongoing revenue decline reflects its preclinical-focused business mix and company-specific headwinds (NHP costs, divestitures) — not a read-through for IQV’s clinical CRO revenue, which is growing.</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Signal for IQV Q2</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Medpace (MEDP)</w:t>
            </w:r>
          </w:p>
        </w:tc>
        <w:tc>
          <w:tcPr>
            <w:tcW w:type="dxa" w:w="2160"/>
          </w:tcPr>
          <w:p>
            <w:r>
              <w:rPr>
                <w:rFonts w:ascii="Calibri" w:hAnsi="Calibri"/>
                <w:sz w:val="22"/>
              </w:rPr>
              <w:t>July 22, 2026 (Q2 2026)</w:t>
            </w:r>
          </w:p>
        </w:tc>
        <w:tc>
          <w:tcPr>
            <w:tcW w:type="dxa" w:w="2160"/>
          </w:tcPr>
          <w:p>
            <w:r>
              <w:rPr>
                <w:rFonts w:ascii="Calibri" w:hAnsi="Calibri"/>
                <w:sz w:val="22"/>
              </w:rPr>
              <w:t>Net bookings +28% YoY; 1.13x book-to-bill; cancellations well-behaved; RFPs up meaningfully; environment constructive into July; FY guidance raised</w:t>
            </w:r>
          </w:p>
        </w:tc>
        <w:tc>
          <w:tcPr>
            <w:tcW w:type="dxa" w:w="2160"/>
          </w:tcPr>
          <w:p>
            <w:r>
              <w:rPr>
                <w:rFonts w:ascii="Calibri" w:hAnsi="Calibri"/>
                <w:b/>
                <w:color w:val="30A46C"/>
                <w:sz w:val="22"/>
              </w:rPr>
              <w:t>Strongly Positive</w:t>
            </w:r>
          </w:p>
        </w:tc>
      </w:tr>
      <w:tr>
        <w:tc>
          <w:tcPr>
            <w:tcW w:type="dxa" w:w="2160"/>
          </w:tcPr>
          <w:p>
            <w:r>
              <w:rPr>
                <w:rFonts w:ascii="Calibri" w:hAnsi="Calibri"/>
                <w:sz w:val="22"/>
              </w:rPr>
              <w:t>ICON (ICLR)</w:t>
            </w:r>
          </w:p>
        </w:tc>
        <w:tc>
          <w:tcPr>
            <w:tcW w:type="dxa" w:w="2160"/>
          </w:tcPr>
          <w:p>
            <w:r>
              <w:rPr>
                <w:rFonts w:ascii="Calibri" w:hAnsi="Calibri"/>
                <w:sz w:val="22"/>
              </w:rPr>
              <w:t>June 24, 2026 (Q1 2026)</w:t>
            </w:r>
          </w:p>
        </w:tc>
        <w:tc>
          <w:tcPr>
            <w:tcW w:type="dxa" w:w="2160"/>
          </w:tcPr>
          <w:p>
            <w:r>
              <w:rPr>
                <w:rFonts w:ascii="Calibri" w:hAnsi="Calibri"/>
                <w:sz w:val="22"/>
              </w:rPr>
              <w:t>1.42x book-to-bill; Q2 expected to be “very strong for signings”; EBP RFP flow up low double digits sequentially; FSP mix validates IQV’s Q1 book-to-bill explanation</w:t>
            </w:r>
          </w:p>
        </w:tc>
        <w:tc>
          <w:tcPr>
            <w:tcW w:type="dxa" w:w="2160"/>
          </w:tcPr>
          <w:p>
            <w:r>
              <w:rPr>
                <w:rFonts w:ascii="Calibri" w:hAnsi="Calibri"/>
                <w:b/>
                <w:color w:val="30A46C"/>
                <w:sz w:val="22"/>
              </w:rPr>
              <w:t>Strongly Positive</w:t>
            </w:r>
          </w:p>
        </w:tc>
      </w:tr>
      <w:tr>
        <w:tc>
          <w:tcPr>
            <w:tcW w:type="dxa" w:w="2160"/>
          </w:tcPr>
          <w:p>
            <w:r>
              <w:rPr>
                <w:rFonts w:ascii="Calibri" w:hAnsi="Calibri"/>
                <w:sz w:val="22"/>
              </w:rPr>
              <w:t>Thermo Fisher (TMO)</w:t>
            </w:r>
          </w:p>
        </w:tc>
        <w:tc>
          <w:tcPr>
            <w:tcW w:type="dxa" w:w="2160"/>
          </w:tcPr>
          <w:p>
            <w:r>
              <w:rPr>
                <w:rFonts w:ascii="Calibri" w:hAnsi="Calibri"/>
                <w:sz w:val="22"/>
              </w:rPr>
              <w:t>July 23, 2026 (Q2 2026)</w:t>
            </w:r>
          </w:p>
        </w:tc>
        <w:tc>
          <w:tcPr>
            <w:tcW w:type="dxa" w:w="2160"/>
          </w:tcPr>
          <w:p>
            <w:r>
              <w:rPr>
                <w:rFonts w:ascii="Calibri" w:hAnsi="Calibri"/>
                <w:sz w:val="22"/>
              </w:rPr>
              <w:t>Clinical research “excellent quarter”; pharma/biotech mid-single digit growth; H2 expected “a little better”; large pharma “quite positive” on pipelines; FY guidance raised</w:t>
            </w:r>
          </w:p>
        </w:tc>
        <w:tc>
          <w:tcPr>
            <w:tcW w:type="dxa" w:w="2160"/>
          </w:tcPr>
          <w:p>
            <w:r>
              <w:rPr>
                <w:rFonts w:ascii="Calibri" w:hAnsi="Calibri"/>
                <w:b/>
                <w:color w:val="30A46C"/>
                <w:sz w:val="22"/>
              </w:rPr>
              <w:t>Positive</w:t>
            </w:r>
          </w:p>
        </w:tc>
      </w:tr>
      <w:tr>
        <w:tc>
          <w:tcPr>
            <w:tcW w:type="dxa" w:w="2160"/>
          </w:tcPr>
          <w:p>
            <w:r>
              <w:rPr>
                <w:rFonts w:ascii="Calibri" w:hAnsi="Calibri"/>
                <w:sz w:val="22"/>
              </w:rPr>
              <w:t>Charles River (CRL)</w:t>
            </w:r>
          </w:p>
        </w:tc>
        <w:tc>
          <w:tcPr>
            <w:tcW w:type="dxa" w:w="2160"/>
          </w:tcPr>
          <w:p>
            <w:r>
              <w:rPr>
                <w:rFonts w:ascii="Calibri" w:hAnsi="Calibri"/>
                <w:sz w:val="22"/>
              </w:rPr>
              <w:t>May 7, 2026 (Q1 2026)</w:t>
            </w:r>
          </w:p>
        </w:tc>
        <w:tc>
          <w:tcPr>
            <w:tcW w:type="dxa" w:w="2160"/>
          </w:tcPr>
          <w:p>
            <w:r>
              <w:rPr>
                <w:rFonts w:ascii="Calibri" w:hAnsi="Calibri"/>
                <w:sz w:val="22"/>
              </w:rPr>
              <w:t>Demand stabilized; proposal activity up high single digits YoY; large pharma focused on pipeline acceleration; AI expected to increase IND approvals; CRL-specific revenue decline not a read-through for IQV</w:t>
            </w:r>
          </w:p>
        </w:tc>
        <w:tc>
          <w:tcPr>
            <w:tcW w:type="dxa" w:w="2160"/>
          </w:tcPr>
          <w:p>
            <w:r>
              <w:rPr>
                <w:rFonts w:ascii="Calibri" w:hAnsi="Calibri"/>
                <w:b/>
                <w:color w:val="30A46C"/>
                <w:sz w:val="22"/>
              </w:rPr>
              <w:t>Positive (with caveats)</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sells by executives or directors in the past 60 days — all Form 4 filings reflect routine director compensation in the form of deferred share awards (transaction code “A”), not discretionary purchases or sales. The absence of any open-market selling by insiders ahead of earnings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Danhakl, John G.</w:t>
            </w:r>
          </w:p>
        </w:tc>
        <w:tc>
          <w:tcPr>
            <w:tcW w:type="dxa" w:w="1440"/>
          </w:tcPr>
          <w:p>
            <w:r>
              <w:rPr>
                <w:rFonts w:ascii="Calibri" w:hAnsi="Calibri"/>
                <w:sz w:val="22"/>
              </w:rPr>
              <w:t>Director</w:t>
            </w:r>
          </w:p>
        </w:tc>
        <w:tc>
          <w:tcPr>
            <w:tcW w:type="dxa" w:w="1440"/>
          </w:tcPr>
          <w:p>
            <w:r>
              <w:rPr>
                <w:rFonts w:ascii="Calibri" w:hAnsi="Calibri"/>
                <w:sz w:val="22"/>
              </w:rPr>
              <w:t>Award (Deferred Shares)</w:t>
            </w:r>
          </w:p>
        </w:tc>
        <w:tc>
          <w:tcPr>
            <w:tcW w:type="dxa" w:w="1440"/>
          </w:tcPr>
          <w:p>
            <w:r>
              <w:rPr>
                <w:rFonts w:ascii="Calibri" w:hAnsi="Calibri"/>
                <w:sz w:val="22"/>
              </w:rPr>
              <w:t>160 shares</w:t>
            </w:r>
          </w:p>
        </w:tc>
        <w:tc>
          <w:tcPr>
            <w:tcW w:type="dxa" w:w="1440"/>
          </w:tcPr>
          <w:p>
            <w:r>
              <w:rPr>
                <w:rFonts w:ascii="Calibri" w:hAnsi="Calibri"/>
                <w:sz w:val="22"/>
              </w:rPr>
              <w:t>July 14, 2026</w:t>
            </w:r>
          </w:p>
        </w:tc>
        <w:tc>
          <w:tcPr>
            <w:tcW w:type="dxa" w:w="1440"/>
          </w:tcPr>
          <w:p>
            <w:r>
              <w:rPr>
                <w:rFonts w:ascii="Calibri" w:hAnsi="Calibri"/>
                <w:sz w:val="22"/>
              </w:rPr>
              <w:t>Routine director compensation; deferred share award, not open-market purchase</w:t>
            </w:r>
          </w:p>
        </w:tc>
      </w:tr>
      <w:tr>
        <w:tc>
          <w:tcPr>
            <w:tcW w:type="dxa" w:w="1440"/>
          </w:tcPr>
          <w:p>
            <w:r>
              <w:rPr>
                <w:rFonts w:ascii="Calibri" w:hAnsi="Calibri"/>
                <w:sz w:val="22"/>
              </w:rPr>
              <w:t>Fasano, Jim</w:t>
            </w:r>
          </w:p>
        </w:tc>
        <w:tc>
          <w:tcPr>
            <w:tcW w:type="dxa" w:w="1440"/>
          </w:tcPr>
          <w:p>
            <w:r>
              <w:rPr>
                <w:rFonts w:ascii="Calibri" w:hAnsi="Calibri"/>
                <w:sz w:val="22"/>
              </w:rPr>
              <w:t>Director</w:t>
            </w:r>
          </w:p>
        </w:tc>
        <w:tc>
          <w:tcPr>
            <w:tcW w:type="dxa" w:w="1440"/>
          </w:tcPr>
          <w:p>
            <w:r>
              <w:rPr>
                <w:rFonts w:ascii="Calibri" w:hAnsi="Calibri"/>
                <w:sz w:val="22"/>
              </w:rPr>
              <w:t>Award (Deferred Shares)</w:t>
            </w:r>
          </w:p>
        </w:tc>
        <w:tc>
          <w:tcPr>
            <w:tcW w:type="dxa" w:w="1440"/>
          </w:tcPr>
          <w:p>
            <w:r>
              <w:rPr>
                <w:rFonts w:ascii="Calibri" w:hAnsi="Calibri"/>
                <w:sz w:val="22"/>
              </w:rPr>
              <w:t>195 shares</w:t>
            </w:r>
          </w:p>
        </w:tc>
        <w:tc>
          <w:tcPr>
            <w:tcW w:type="dxa" w:w="1440"/>
          </w:tcPr>
          <w:p>
            <w:r>
              <w:rPr>
                <w:rFonts w:ascii="Calibri" w:hAnsi="Calibri"/>
                <w:sz w:val="22"/>
              </w:rPr>
              <w:t>July 14, 2026</w:t>
            </w:r>
          </w:p>
        </w:tc>
        <w:tc>
          <w:tcPr>
            <w:tcW w:type="dxa" w:w="1440"/>
          </w:tcPr>
          <w:p>
            <w:r>
              <w:rPr>
                <w:rFonts w:ascii="Calibri" w:hAnsi="Calibri"/>
                <w:sz w:val="22"/>
              </w:rPr>
              <w:t>Routine director compensation; deferred share award, not open-market purchase</w:t>
            </w:r>
          </w:p>
        </w:tc>
      </w:tr>
      <w:tr>
        <w:tc>
          <w:tcPr>
            <w:tcW w:type="dxa" w:w="1440"/>
          </w:tcPr>
          <w:p>
            <w:r>
              <w:rPr>
                <w:rFonts w:ascii="Calibri" w:hAnsi="Calibri"/>
                <w:sz w:val="22"/>
              </w:rPr>
              <w:t>Goggins, Colleen A.</w:t>
            </w:r>
          </w:p>
        </w:tc>
        <w:tc>
          <w:tcPr>
            <w:tcW w:type="dxa" w:w="1440"/>
          </w:tcPr>
          <w:p>
            <w:r>
              <w:rPr>
                <w:rFonts w:ascii="Calibri" w:hAnsi="Calibri"/>
                <w:sz w:val="22"/>
              </w:rPr>
              <w:t>Director</w:t>
            </w:r>
          </w:p>
        </w:tc>
        <w:tc>
          <w:tcPr>
            <w:tcW w:type="dxa" w:w="1440"/>
          </w:tcPr>
          <w:p>
            <w:r>
              <w:rPr>
                <w:rFonts w:ascii="Calibri" w:hAnsi="Calibri"/>
                <w:sz w:val="22"/>
              </w:rPr>
              <w:t>Award (Deferred Shares)</w:t>
            </w:r>
          </w:p>
        </w:tc>
        <w:tc>
          <w:tcPr>
            <w:tcW w:type="dxa" w:w="1440"/>
          </w:tcPr>
          <w:p>
            <w:r>
              <w:rPr>
                <w:rFonts w:ascii="Calibri" w:hAnsi="Calibri"/>
                <w:sz w:val="22"/>
              </w:rPr>
              <w:t>183 shares</w:t>
            </w:r>
          </w:p>
        </w:tc>
        <w:tc>
          <w:tcPr>
            <w:tcW w:type="dxa" w:w="1440"/>
          </w:tcPr>
          <w:p>
            <w:r>
              <w:rPr>
                <w:rFonts w:ascii="Calibri" w:hAnsi="Calibri"/>
                <w:sz w:val="22"/>
              </w:rPr>
              <w:t>July 14, 2026</w:t>
            </w:r>
          </w:p>
        </w:tc>
        <w:tc>
          <w:tcPr>
            <w:tcW w:type="dxa" w:w="1440"/>
          </w:tcPr>
          <w:p>
            <w:r>
              <w:rPr>
                <w:rFonts w:ascii="Calibri" w:hAnsi="Calibri"/>
                <w:sz w:val="22"/>
              </w:rPr>
              <w:t>Routine director compensation; deferred share award, not open-market purchase</w:t>
            </w:r>
          </w:p>
        </w:tc>
      </w:tr>
      <w:tr>
        <w:tc>
          <w:tcPr>
            <w:tcW w:type="dxa" w:w="1440"/>
          </w:tcPr>
          <w:p>
            <w:r>
              <w:rPr>
                <w:rFonts w:ascii="Calibri" w:hAnsi="Calibri"/>
                <w:sz w:val="22"/>
              </w:rPr>
              <w:t>Wims Morris, Leslie</w:t>
            </w:r>
          </w:p>
        </w:tc>
        <w:tc>
          <w:tcPr>
            <w:tcW w:type="dxa" w:w="1440"/>
          </w:tcPr>
          <w:p>
            <w:r>
              <w:rPr>
                <w:rFonts w:ascii="Calibri" w:hAnsi="Calibri"/>
                <w:sz w:val="22"/>
              </w:rPr>
              <w:t>Director</w:t>
            </w:r>
          </w:p>
        </w:tc>
        <w:tc>
          <w:tcPr>
            <w:tcW w:type="dxa" w:w="1440"/>
          </w:tcPr>
          <w:p>
            <w:r>
              <w:rPr>
                <w:rFonts w:ascii="Calibri" w:hAnsi="Calibri"/>
                <w:sz w:val="22"/>
              </w:rPr>
              <w:t>Award (Deferred Shares)</w:t>
            </w:r>
          </w:p>
        </w:tc>
        <w:tc>
          <w:tcPr>
            <w:tcW w:type="dxa" w:w="1440"/>
          </w:tcPr>
          <w:p>
            <w:r>
              <w:rPr>
                <w:rFonts w:ascii="Calibri" w:hAnsi="Calibri"/>
                <w:sz w:val="22"/>
              </w:rPr>
              <w:t>148 shares</w:t>
            </w:r>
          </w:p>
        </w:tc>
        <w:tc>
          <w:tcPr>
            <w:tcW w:type="dxa" w:w="1440"/>
          </w:tcPr>
          <w:p>
            <w:r>
              <w:rPr>
                <w:rFonts w:ascii="Calibri" w:hAnsi="Calibri"/>
                <w:sz w:val="22"/>
              </w:rPr>
              <w:t>July 14, 2026</w:t>
            </w:r>
          </w:p>
        </w:tc>
        <w:tc>
          <w:tcPr>
            <w:tcW w:type="dxa" w:w="1440"/>
          </w:tcPr>
          <w:p>
            <w:r>
              <w:rPr>
                <w:rFonts w:ascii="Calibri" w:hAnsi="Calibri"/>
                <w:sz w:val="22"/>
              </w:rPr>
              <w:t>Routine director compensation; deferred share award, not open-market purchase</w:t>
            </w:r>
          </w:p>
        </w:tc>
      </w:tr>
      <w:tr>
        <w:tc>
          <w:tcPr>
            <w:tcW w:type="dxa" w:w="1440"/>
          </w:tcPr>
          <w:p>
            <w:r>
              <w:rPr>
                <w:rFonts w:ascii="Calibri" w:hAnsi="Calibri"/>
                <w:sz w:val="22"/>
              </w:rPr>
              <w:t>Danhakl, John G.</w:t>
            </w:r>
          </w:p>
        </w:tc>
        <w:tc>
          <w:tcPr>
            <w:tcW w:type="dxa" w:w="1440"/>
          </w:tcPr>
          <w:p>
            <w:r>
              <w:rPr>
                <w:rFonts w:ascii="Calibri" w:hAnsi="Calibri"/>
                <w:sz w:val="22"/>
              </w:rPr>
              <w:t>Director</w:t>
            </w:r>
          </w:p>
        </w:tc>
        <w:tc>
          <w:tcPr>
            <w:tcW w:type="dxa" w:w="1440"/>
          </w:tcPr>
          <w:p>
            <w:r>
              <w:rPr>
                <w:rFonts w:ascii="Calibri" w:hAnsi="Calibri"/>
                <w:sz w:val="22"/>
              </w:rPr>
              <w:t>Award (Deferred Shares)</w:t>
            </w:r>
          </w:p>
        </w:tc>
        <w:tc>
          <w:tcPr>
            <w:tcW w:type="dxa" w:w="1440"/>
          </w:tcPr>
          <w:p>
            <w:r>
              <w:rPr>
                <w:rFonts w:ascii="Calibri" w:hAnsi="Calibri"/>
                <w:sz w:val="22"/>
              </w:rPr>
              <w:t>185 shares</w:t>
            </w:r>
          </w:p>
        </w:tc>
        <w:tc>
          <w:tcPr>
            <w:tcW w:type="dxa" w:w="1440"/>
          </w:tcPr>
          <w:p>
            <w:r>
              <w:rPr>
                <w:rFonts w:ascii="Calibri" w:hAnsi="Calibri"/>
                <w:sz w:val="22"/>
              </w:rPr>
              <w:t>May 7, 2026</w:t>
            </w:r>
          </w:p>
        </w:tc>
        <w:tc>
          <w:tcPr>
            <w:tcW w:type="dxa" w:w="1440"/>
          </w:tcPr>
          <w:p>
            <w:r>
              <w:rPr>
                <w:rFonts w:ascii="Calibri" w:hAnsi="Calibri"/>
                <w:sz w:val="22"/>
              </w:rPr>
              <w:t>Routine director compensation; deferred share award, not open-market purchase</w:t>
            </w:r>
          </w:p>
        </w:tc>
      </w:tr>
      <w:tr>
        <w:tc>
          <w:tcPr>
            <w:tcW w:type="dxa" w:w="1440"/>
          </w:tcPr>
          <w:p>
            <w:r>
              <w:rPr>
                <w:rFonts w:ascii="Calibri" w:hAnsi="Calibri"/>
                <w:sz w:val="22"/>
              </w:rPr>
              <w:t>Fasano, Jim</w:t>
            </w:r>
          </w:p>
        </w:tc>
        <w:tc>
          <w:tcPr>
            <w:tcW w:type="dxa" w:w="1440"/>
          </w:tcPr>
          <w:p>
            <w:r>
              <w:rPr>
                <w:rFonts w:ascii="Calibri" w:hAnsi="Calibri"/>
                <w:sz w:val="22"/>
              </w:rPr>
              <w:t>Director</w:t>
            </w:r>
          </w:p>
        </w:tc>
        <w:tc>
          <w:tcPr>
            <w:tcW w:type="dxa" w:w="1440"/>
          </w:tcPr>
          <w:p>
            <w:r>
              <w:rPr>
                <w:rFonts w:ascii="Calibri" w:hAnsi="Calibri"/>
                <w:sz w:val="22"/>
              </w:rPr>
              <w:t>Award (Deferred Shares)</w:t>
            </w:r>
          </w:p>
        </w:tc>
        <w:tc>
          <w:tcPr>
            <w:tcW w:type="dxa" w:w="1440"/>
          </w:tcPr>
          <w:p>
            <w:r>
              <w:rPr>
                <w:rFonts w:ascii="Calibri" w:hAnsi="Calibri"/>
                <w:sz w:val="22"/>
              </w:rPr>
              <w:t>228 shares</w:t>
            </w:r>
          </w:p>
        </w:tc>
        <w:tc>
          <w:tcPr>
            <w:tcW w:type="dxa" w:w="1440"/>
          </w:tcPr>
          <w:p>
            <w:r>
              <w:rPr>
                <w:rFonts w:ascii="Calibri" w:hAnsi="Calibri"/>
                <w:sz w:val="22"/>
              </w:rPr>
              <w:t>May 7, 2026</w:t>
            </w:r>
          </w:p>
        </w:tc>
        <w:tc>
          <w:tcPr>
            <w:tcW w:type="dxa" w:w="1440"/>
          </w:tcPr>
          <w:p>
            <w:r>
              <w:rPr>
                <w:rFonts w:ascii="Calibri" w:hAnsi="Calibri"/>
                <w:sz w:val="22"/>
              </w:rPr>
              <w:t>Routine director compensation; deferred share award, not open-market purchase</w:t>
            </w:r>
          </w:p>
        </w:tc>
      </w:tr>
      <w:tr>
        <w:tc>
          <w:tcPr>
            <w:tcW w:type="dxa" w:w="1440"/>
          </w:tcPr>
          <w:p>
            <w:r>
              <w:rPr>
                <w:rFonts w:ascii="Calibri" w:hAnsi="Calibri"/>
                <w:sz w:val="22"/>
              </w:rPr>
              <w:t>Goggins, Colleen A.</w:t>
            </w:r>
          </w:p>
        </w:tc>
        <w:tc>
          <w:tcPr>
            <w:tcW w:type="dxa" w:w="1440"/>
          </w:tcPr>
          <w:p>
            <w:r>
              <w:rPr>
                <w:rFonts w:ascii="Calibri" w:hAnsi="Calibri"/>
                <w:sz w:val="22"/>
              </w:rPr>
              <w:t>Director</w:t>
            </w:r>
          </w:p>
        </w:tc>
        <w:tc>
          <w:tcPr>
            <w:tcW w:type="dxa" w:w="1440"/>
          </w:tcPr>
          <w:p>
            <w:r>
              <w:rPr>
                <w:rFonts w:ascii="Calibri" w:hAnsi="Calibri"/>
                <w:sz w:val="22"/>
              </w:rPr>
              <w:t>Award (Deferred Shares)</w:t>
            </w:r>
          </w:p>
        </w:tc>
        <w:tc>
          <w:tcPr>
            <w:tcW w:type="dxa" w:w="1440"/>
          </w:tcPr>
          <w:p>
            <w:r>
              <w:rPr>
                <w:rFonts w:ascii="Calibri" w:hAnsi="Calibri"/>
                <w:sz w:val="22"/>
              </w:rPr>
              <w:t>214 shares</w:t>
            </w:r>
          </w:p>
        </w:tc>
        <w:tc>
          <w:tcPr>
            <w:tcW w:type="dxa" w:w="1440"/>
          </w:tcPr>
          <w:p>
            <w:r>
              <w:rPr>
                <w:rFonts w:ascii="Calibri" w:hAnsi="Calibri"/>
                <w:sz w:val="22"/>
              </w:rPr>
              <w:t>May 7, 2026</w:t>
            </w:r>
          </w:p>
        </w:tc>
        <w:tc>
          <w:tcPr>
            <w:tcW w:type="dxa" w:w="1440"/>
          </w:tcPr>
          <w:p>
            <w:r>
              <w:rPr>
                <w:rFonts w:ascii="Calibri" w:hAnsi="Calibri"/>
                <w:sz w:val="22"/>
              </w:rPr>
              <w:t>Routine director compensation; deferred share award, not open-market purchase</w:t>
            </w:r>
          </w:p>
        </w:tc>
      </w:tr>
      <w:tr>
        <w:tc>
          <w:tcPr>
            <w:tcW w:type="dxa" w:w="1440"/>
          </w:tcPr>
          <w:p>
            <w:r>
              <w:rPr>
                <w:rFonts w:ascii="Calibri" w:hAnsi="Calibri"/>
                <w:sz w:val="22"/>
              </w:rPr>
              <w:t>Wims Morris, Leslie</w:t>
            </w:r>
          </w:p>
        </w:tc>
        <w:tc>
          <w:tcPr>
            <w:tcW w:type="dxa" w:w="1440"/>
          </w:tcPr>
          <w:p>
            <w:r>
              <w:rPr>
                <w:rFonts w:ascii="Calibri" w:hAnsi="Calibri"/>
                <w:sz w:val="22"/>
              </w:rPr>
              <w:t>Director</w:t>
            </w:r>
          </w:p>
        </w:tc>
        <w:tc>
          <w:tcPr>
            <w:tcW w:type="dxa" w:w="1440"/>
          </w:tcPr>
          <w:p>
            <w:r>
              <w:rPr>
                <w:rFonts w:ascii="Calibri" w:hAnsi="Calibri"/>
                <w:sz w:val="22"/>
              </w:rPr>
              <w:t>Award (Deferred Shares)</w:t>
            </w:r>
          </w:p>
        </w:tc>
        <w:tc>
          <w:tcPr>
            <w:tcW w:type="dxa" w:w="1440"/>
          </w:tcPr>
          <w:p>
            <w:r>
              <w:rPr>
                <w:rFonts w:ascii="Calibri" w:hAnsi="Calibri"/>
                <w:sz w:val="22"/>
              </w:rPr>
              <w:t>171 shares</w:t>
            </w:r>
          </w:p>
        </w:tc>
        <w:tc>
          <w:tcPr>
            <w:tcW w:type="dxa" w:w="1440"/>
          </w:tcPr>
          <w:p>
            <w:r>
              <w:rPr>
                <w:rFonts w:ascii="Calibri" w:hAnsi="Calibri"/>
                <w:sz w:val="22"/>
              </w:rPr>
              <w:t>May 7, 2026</w:t>
            </w:r>
          </w:p>
        </w:tc>
        <w:tc>
          <w:tcPr>
            <w:tcW w:type="dxa" w:w="1440"/>
          </w:tcPr>
          <w:p>
            <w:r>
              <w:rPr>
                <w:rFonts w:ascii="Calibri" w:hAnsi="Calibri"/>
                <w:sz w:val="22"/>
              </w:rPr>
              <w:t>Routine director compensation; deferred share award, not open-market purchase</w:t>
            </w:r>
          </w:p>
        </w:tc>
      </w:tr>
    </w:tbl>
    <w:p>
      <w:r>
        <w:rPr>
          <w:rFonts w:ascii="Calibri" w:hAnsi="Calibri"/>
          <w:i/>
          <w:color w:val="525866"/>
          <w:sz w:val="22"/>
        </w:rPr>
        <w:t>All Form 4 filings in the past 60 days reflect routine director deferred share awards (transaction code “A”) — these are non-discretionary compensation grants, not open-market purchases or sales. There are no open-market buys (code P) or open-market sells (code S) by any executive officer or director in the period. The absence of any discretionary selling ahead of earnings is a mild positive signal, though the lack of open-market buying means insiders are not providing a strong conviction signal either. The $2B incremental buyback authorization (May 7, 2026) by the Board is the most meaningful insider-level signal of confidence in the stock’s valuation.</w:t>
      </w:r>
    </w:p>
    <w:p>
      <w:r>
        <w:rPr>
          <w:rFonts w:ascii="Calibri" w:hAnsi="Calibri"/>
          <w:i/>
          <w:color w:val="525866"/>
          <w:sz w:val="22"/>
        </w:rPr>
        <w:t>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