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Let me read the latest earnings release and gather comparison data and stock price.Let me pull the prior-year Q2 (2025Q2) release for comps and the most recent news.# Ingersoll Rand (IR) — Q2 2026 Earnings Preview</w:t>
      </w:r>
    </w:p>
    <w:bookmarkStart w:id="9" w:name="X820e981c79f2b3baf48f2589566bc523386334e"/>
    <w:p>
      <w:pPr>
        <w:pStyle w:val="Heading3"/>
      </w:pPr>
      <w:r>
        <w:t xml:space="preserve">Reports before market open, Thursday, July 30, 2026 | 2026 Q2 Earnings Call</w:t>
      </w:r>
    </w:p>
    <w:p>
      <w:r>
        <w:pict>
          <v:rect style="width:0;height:1.5pt" o:hralign="center" o:hrstd="t" o:hr="t"/>
        </w:pict>
      </w:r>
    </w:p>
    <w:bookmarkEnd w:id="9"/>
    <w:bookmarkStart w:id="10" w:name="the-one-line-setup"/>
    <w:p>
      <w:pPr>
        <w:pStyle w:val="Heading2"/>
      </w:pPr>
      <w:r>
        <w:t xml:space="preserve">The One-Line Setup</w:t>
      </w:r>
    </w:p>
    <w:p>
      <w:pPr>
        <w:pStyle w:val="FirstParagraph"/>
      </w:pPr>
      <w:r>
        <w:t xml:space="preserve">IR heads into Q2 as a "show-me" quarter on two fronts: (1) whether the ITS margin decline — down year-over-year for five straight quarters — finally bottoms and begins the promised second-half inflection, and (2) whether the delayed Middle East long-cycle orders keep flowing back into the funnel. Management reaffirmed (did not raise) full-year guidance at Q1, so watch closely for any change in tone here.</w:t>
      </w:r>
    </w:p>
    <w:p>
      <w:r>
        <w:pict>
          <v:rect style="width:0;height:1.5pt" o:hralign="center" o:hrstd="t" o:hr="t"/>
        </w:pict>
      </w:r>
    </w:p>
    <w:bookmarkEnd w:id="10"/>
    <w:bookmarkStart w:id="11" w:name="X5414bf3c3f27c9746fdc37a453da45e7f2038ca"/>
    <w:p>
      <w:pPr>
        <w:pStyle w:val="Heading2"/>
      </w:pPr>
      <w:r>
        <w:t xml:space="preserve">What Management Has Effectively Pre-Guided for Q2</w:t>
      </w:r>
    </w:p>
    <w:p>
      <w:pPr>
        <w:pStyle w:val="FirstParagraph"/>
      </w:pPr>
      <w:r>
        <w:t xml:space="preserve">On the Q1 call, CFO Vik Kini gave unusually specific Q2 framing. Backing into the reaffirmed full-year guide (1H = 46% of EBITDA/EPS phasing) implies the following: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Q2 2026 Implied</w:t>
            </w:r>
          </w:p>
        </w:tc>
        <w:tc>
          <w:tcPr/>
          <w:p>
            <w:pPr>
              <w:pStyle w:val="Compact"/>
            </w:pPr>
            <w:r>
              <w:t xml:space="preserve">Q2 2025 Actual (comp)</w:t>
            </w:r>
          </w:p>
        </w:tc>
        <w:tc>
          <w:tcPr/>
          <w:p>
            <w:pPr>
              <w:pStyle w:val="Compact"/>
            </w:pPr>
            <w:r>
              <w:t xml:space="preserve">Implied YoY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Adj. EPS</w:t>
            </w:r>
          </w:p>
        </w:tc>
        <w:tc>
          <w:tcPr/>
          <w:p>
            <w:pPr>
              <w:pStyle w:val="Compact"/>
            </w:pPr>
            <w:r>
              <w:t xml:space="preserve">~</w:t>
            </w:r>
            <m:oMath>
              <m:r>
                <m:t>0.82</m:t>
              </m:r>
              <m:r>
                <m:rPr>
                  <m:sty m:val="p"/>
                </m:rPr>
                <m:t>–</m:t>
              </m:r>
              <m:r>
                <m:t>0.87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0.85)</w:t>
            </w:r>
          </w:p>
        </w:tc>
        <w:tc>
          <w:tcPr/>
          <w:p>
            <w:pPr>
              <w:pStyle w:val="Compact"/>
            </w:pPr>
            <w:r>
              <w:t xml:space="preserve">$0.80</w:t>
            </w:r>
          </w:p>
        </w:tc>
        <w:tc>
          <w:tcPr/>
          <w:p>
            <w:pPr>
              <w:pStyle w:val="Compact"/>
            </w:pPr>
            <w:r>
              <w:t xml:space="preserve">~+6%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Adj. EBITDA</w:t>
            </w:r>
          </w:p>
        </w:tc>
        <w:tc>
          <w:tcPr/>
          <w:p>
            <w:pPr>
              <w:pStyle w:val="Compact"/>
            </w:pPr>
            <w:r>
              <w:t xml:space="preserve">~</w:t>
            </w:r>
            <m:oMath>
              <m:r>
                <m:t>511</m:t>
              </m:r>
              <m:r>
                <m:rPr>
                  <m:sty m:val="p"/>
                </m:rPr>
                <m:t>–</m:t>
              </m:r>
              <m:r>
                <m:t>538</m:t>
              </m:r>
              <m:r>
                <m:t>M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525M)</w:t>
            </w:r>
          </w:p>
        </w:tc>
        <w:tc>
          <w:tcPr/>
          <w:p>
            <w:pPr>
              <w:pStyle w:val="Compact"/>
            </w:pPr>
            <w:r>
              <w:t xml:space="preserve">$509.4M</w:t>
            </w:r>
          </w:p>
        </w:tc>
        <w:tc>
          <w:tcPr/>
          <w:p>
            <w:pPr>
              <w:pStyle w:val="Compact"/>
            </w:pPr>
            <w:r>
              <w:t xml:space="preserve">~+3%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Adj. EBITDA margin</w:t>
            </w:r>
          </w:p>
        </w:tc>
        <w:tc>
          <w:tcPr/>
          <w:p>
            <w:pPr>
              <w:pStyle w:val="Compact"/>
            </w:pPr>
            <w:r>
              <w:t xml:space="preserve">slightly down YoY (–50 to –100 bps)</w:t>
            </w:r>
          </w:p>
        </w:tc>
        <w:tc>
          <w:tcPr/>
          <w:p>
            <w:pPr>
              <w:pStyle w:val="Compact"/>
            </w:pPr>
            <w:r>
              <w:t xml:space="preserve">27.0%</w:t>
            </w:r>
          </w:p>
        </w:tc>
        <w:tc>
          <w:tcPr/>
          <w:p>
            <w:pPr>
              <w:pStyle w:val="Compact"/>
            </w:pPr>
            <w:r>
              <w:t xml:space="preserve">~26.0–26.5%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Organic revenue</w:t>
            </w:r>
          </w:p>
        </w:tc>
        <w:tc>
          <w:tcPr/>
          <w:p>
            <w:pPr>
              <w:pStyle w:val="Compact"/>
            </w:pPr>
            <w:r>
              <w:t xml:space="preserve">"flattish to slightly up"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~flat</w:t>
            </w:r>
          </w:p>
        </w:tc>
      </w:tr>
    </w:tbl>
    <w:p>
      <w:pPr>
        <w:pStyle w:val="BodyText"/>
      </w:pPr>
      <w:r>
        <w:t xml:space="preserve">Explicit management guardrails to hold them to: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Organic revenue:</w:t>
      </w:r>
      <w:r>
        <w:t xml:space="preserve"> </w:t>
      </w:r>
      <w:r>
        <w:t xml:space="preserve">Q1 was slightly negative (as planned); Q2 flattish to slightly up; then low-single-digit growth in 2H.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Margins:</w:t>
      </w:r>
      <w:r>
        <w:t xml:space="preserve"> </w:t>
      </w:r>
      <w:r>
        <w:t xml:space="preserve">Sequential improvement Q1→Q2, but still down YoY, "primarily driven by ITS." PST should again show YoY margin expansion.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Full-year targets:</w:t>
      </w:r>
      <w:r>
        <w:t xml:space="preserve"> </w:t>
      </w:r>
      <w:r>
        <w:t xml:space="preserve">Revenue +2.5–4.5% (organic ~1% at midpoint, M&amp;A ~2%, FX ~+0.5%); Adj. EBITDA $2.13–2.19B; Adj. EPS $3.45–3.57 (+5% at midpoint); ~95% FCF conversion; ~23% tax rate; ~394M shares.</w:t>
      </w:r>
    </w:p>
    <w:p>
      <w:r>
        <w:pict>
          <v:rect style="width:0;height:1.5pt" o:hralign="center" o:hrstd="t" o:hr="t"/>
        </w:pict>
      </w:r>
    </w:p>
    <w:bookmarkEnd w:id="11"/>
    <w:bookmarkStart w:id="12" w:name="X967473f473c6f5eb855b48e0e5b02f4fd85243d"/>
    <w:p>
      <w:pPr>
        <w:pStyle w:val="Heading2"/>
      </w:pPr>
      <w:r>
        <w:t xml:space="preserve">The Three Debates That Will Move the Stock</w:t>
      </w:r>
    </w:p>
    <w:p>
      <w:pPr>
        <w:pStyle w:val="FirstParagraph"/>
      </w:pPr>
      <w:r>
        <w:rPr>
          <w:b/>
          <w:bCs/>
        </w:rPr>
        <w:t xml:space="preserve">1. ITS margin inflection — the crux of the story.</w:t>
      </w:r>
      <w:r>
        <w:t xml:space="preserve"> </w:t>
      </w:r>
      <w:r>
        <w:t xml:space="preserve">ITS Q1 adjusted EBITDA margin was 26.7%, down 210 bps YoY, pressured by decremental volume flow-through, one-for-one tariff-price dilution, and continued commercial investment. Management's thesis is that H2 margins expand back toward long-term targets on: (a) better organic volumes, (b) in-year 2026 pricing actions layering in, (c) restructuring benefits (taken in 2H 2025) landing, and (d) direct-material/procurement savings (direct material = ~70% of COGS). Q2 is still expected down YoY, but investors will scrutinize the sequential build and any change in the "exit-rate margins consistent with long-term targets" language. A soft Q2 that pushes the entire margin recovery into Q4 would be the bear case.</w:t>
      </w:r>
    </w:p>
    <w:p>
      <w:pPr>
        <w:pStyle w:val="BodyText"/>
      </w:pPr>
      <w:r>
        <w:rPr>
          <w:b/>
          <w:bCs/>
        </w:rPr>
        <w:t xml:space="preserve">2. Middle East order recovery.</w:t>
      </w:r>
      <w:r>
        <w:t xml:space="preserve"> </w:t>
      </w:r>
      <w:r>
        <w:t xml:space="preserve">Q1 saw ~$40M of long-cycle orders delayed (plant/capacity-expansion projects), which by itself turned ITS organic orders to –3% (roughly flat ex-delay). Management said ~1/3 came back in April and expects the rest through 2026 with no full-year revenue/EBITDA impact and no cancellations. Confirmation that these bookings actually landed — and that the conflict hasn't rippled into Europe — is a key credibility check.</w:t>
      </w:r>
    </w:p>
    <w:p>
      <w:pPr>
        <w:pStyle w:val="BodyText"/>
      </w:pPr>
      <w:r>
        <w:rPr>
          <w:b/>
          <w:bCs/>
        </w:rPr>
        <w:t xml:space="preserve">3. Short-cycle vs. long-cycle demand.</w:t>
      </w:r>
      <w:r>
        <w:t xml:space="preserve"> </w:t>
      </w:r>
      <w:r>
        <w:t xml:space="preserve">The encouraging Q1 narrative: U.S. compressor activity stabilizing (ISM back above 50), core tool business growing mid-single digits organically, blower/vacuum up, PST short-cycle book-and-ship growing, and China outperforming its market for a third straight quarter. The pushback (raised by UBS on the Q1 call): this short-cycle momentum isn't yet "piercing through" to reported organic growth. Watch total-company and segment</w:t>
      </w:r>
      <w:r>
        <w:t xml:space="preserve"> </w:t>
      </w:r>
      <w:r>
        <w:rPr>
          <w:b/>
          <w:bCs/>
        </w:rPr>
        <w:t xml:space="preserve">orders and book-to-bill</w:t>
      </w:r>
      <w:r>
        <w:t xml:space="preserve"> </w:t>
      </w:r>
      <w:r>
        <w:t xml:space="preserve">(Q1 was 1.07x total; ITS 1.08x; PST 1.04x) as the leading tell.</w:t>
      </w:r>
    </w:p>
    <w:p>
      <w:r>
        <w:pict>
          <v:rect style="width:0;height:1.5pt" o:hralign="center" o:hrstd="t" o:hr="t"/>
        </w:pict>
      </w:r>
    </w:p>
    <w:bookmarkEnd w:id="12"/>
    <w:bookmarkStart w:id="13" w:name="pst--life-sciences--the-bright-spot"/>
    <w:p>
      <w:pPr>
        <w:pStyle w:val="Heading2"/>
      </w:pPr>
      <w:r>
        <w:t xml:space="preserve">PST / Life Sciences — the bright spot</w:t>
      </w:r>
    </w:p>
    <w:p>
      <w:pPr>
        <w:pStyle w:val="FirstParagraph"/>
      </w:pPr>
      <w:r>
        <w:t xml:space="preserve">PST has been the outperformer: Q1 organic revenue +4%, adjusted EBITDA +15% with margin up 120 bps to 30.3%, and Life Science Technologies orders up double digits on U.S. biopharma/API reshoring. The question is sustainability — management wouldn't extrapolate double-digit LST growth for the full year but sees a mid-single-digit 2-year stack as the right run-rate. Any moderation vs. Q1's strength, or continued acceleration, matters given PST is carrying the margin story while ITS recovers.</w:t>
      </w:r>
    </w:p>
    <w:p>
      <w:r>
        <w:pict>
          <v:rect style="width:0;height:1.5pt" o:hralign="center" o:hrstd="t" o:hr="t"/>
        </w:pict>
      </w:r>
    </w:p>
    <w:bookmarkEnd w:id="13"/>
    <w:bookmarkStart w:id="14" w:name="capital-allocation--ma"/>
    <w:p>
      <w:pPr>
        <w:pStyle w:val="Heading2"/>
      </w:pPr>
      <w:r>
        <w:t xml:space="preserve">Capital Allocation &amp; M&amp;A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Balance sheet:</w:t>
      </w:r>
      <w:r>
        <w:t xml:space="preserve"> </w:t>
      </w:r>
      <w:r>
        <w:t xml:space="preserve">~$3.9B liquidity, net leverage ~1.7x — ample dry powder.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M&amp;A engine:</w:t>
      </w:r>
      <w:r>
        <w:t xml:space="preserve"> </w:t>
      </w:r>
      <w:r>
        <w:t xml:space="preserve">&gt;200 companies in the funnel, 10 at LOI stage (&gt;90% internally sourced); targeting 400–500 bps of annualized inorganic revenue in 2026. Fox s.r.l. (dampeners/accumulators) was set to close April 30; more bolt-ons expected. Notably, management flagged a</w:t>
      </w:r>
      <w:r>
        <w:t xml:space="preserve"> </w:t>
      </w:r>
      <w:r>
        <w:rPr>
          <w:b/>
          <w:bCs/>
        </w:rPr>
        <w:t xml:space="preserve">&gt;$1B purchase-price target in the funnel</w:t>
      </w:r>
      <w:r>
        <w:t xml:space="preserve"> </w:t>
      </w:r>
      <w:r>
        <w:t xml:space="preserve">(not yet at LOI) — a larger deal here would be a swing factor.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Returns:</w:t>
      </w:r>
      <w:r>
        <w:t xml:space="preserve"> </w:t>
      </w:r>
      <w:r>
        <w:t xml:space="preserve">Q1 returned ~</w:t>
      </w:r>
      <m:oMath>
        <m:r>
          <m:t>97</m:t>
        </m:r>
        <m:r>
          <m:t>M</m:t>
        </m:r>
        <m:r>
          <m:rPr>
            <m:sty m:val="p"/>
          </m:rPr>
          <m:t>(</m:t>
        </m:r>
      </m:oMath>
      <w:r>
        <w:t xml:space="preserve">89M buyback +</w:t>
      </w:r>
      <w:r>
        <w:t xml:space="preserve"> </w:t>
      </w:r>
      <m:oMath>
        <m:r>
          <m:t>8</m:t>
        </m:r>
        <m:r>
          <m:t>M</m:t>
        </m:r>
        <m:r>
          <m:t>d</m:t>
        </m:r>
        <m:r>
          <m:t>i</m:t>
        </m:r>
        <m:r>
          <m:t>v</m:t>
        </m:r>
        <m:r>
          <m:t>i</m:t>
        </m:r>
        <m:r>
          <m:t>d</m:t>
        </m:r>
        <m:r>
          <m:t>e</m:t>
        </m:r>
        <m:r>
          <m:t>n</m:t>
        </m:r>
        <m:r>
          <m:t>d</m:t>
        </m:r>
        <m:r>
          <m:rPr>
            <m:sty m:val="p"/>
          </m:rPr>
          <m:t>)</m:t>
        </m:r>
        <m:r>
          <m:rPr>
            <m:sty m:val="p"/>
          </m:rPr>
          <m:t>;</m:t>
        </m:r>
        <m:r>
          <m:t>r</m:t>
        </m:r>
        <m:r>
          <m:t>e</m:t>
        </m:r>
        <m:r>
          <m:t>c</m:t>
        </m:r>
        <m:r>
          <m:t>a</m:t>
        </m:r>
        <m:r>
          <m:t>l</m:t>
        </m:r>
        <m:r>
          <m:t>l</m:t>
        </m:r>
        <m:r>
          <m:t>Q</m:t>
        </m:r>
        <m:r>
          <m:t>2</m:t>
        </m:r>
        <m:r>
          <m:t>2025</m:t>
        </m:r>
        <m:r>
          <m:t>w</m:t>
        </m:r>
        <m:r>
          <m:t>a</m:t>
        </m:r>
        <m:r>
          <m:t>s</m:t>
        </m:r>
        <m:r>
          <m:t>a</m:t>
        </m:r>
        <m:r>
          <m:t>b</m:t>
        </m:r>
        <m:r>
          <m:t>i</m:t>
        </m:r>
        <m:r>
          <m:t>g</m:t>
        </m:r>
        <m:r>
          <m:t>b</m:t>
        </m:r>
        <m:r>
          <m:t>u</m:t>
        </m:r>
        <m:r>
          <m:t>y</m:t>
        </m:r>
        <m:r>
          <m:t>b</m:t>
        </m:r>
        <m:r>
          <m:t>a</m:t>
        </m:r>
        <m:r>
          <m:t>c</m:t>
        </m:r>
        <m:r>
          <m:t>k</m:t>
        </m:r>
        <m:r>
          <m:t>q</m:t>
        </m:r>
        <m:r>
          <m:t>u</m:t>
        </m:r>
        <m:r>
          <m:t>a</m:t>
        </m:r>
        <m:r>
          <m:t>r</m:t>
        </m:r>
        <m:r>
          <m:t>t</m:t>
        </m:r>
        <m:r>
          <m:t>e</m:t>
        </m:r>
        <m:r>
          <m:t>r</m:t>
        </m:r>
        <m:r>
          <m:rPr>
            <m:sty m:val="p"/>
          </m:rPr>
          <m:t>(</m:t>
        </m:r>
        <m:r>
          <m:t> </m:t>
        </m:r>
      </m:oMath>
      <w:r>
        <w:t xml:space="preserve">500M). Watch buyback pace given the stock's pullback.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Recurring revenue:</w:t>
      </w:r>
      <w:r>
        <w:t xml:space="preserve"> </w:t>
      </w:r>
      <w:r>
        <w:t xml:space="preserve">Tracking toward a ~$1B run-rate target by end-2027.</w:t>
      </w:r>
    </w:p>
    <w:p>
      <w:r>
        <w:pict>
          <v:rect style="width:0;height:1.5pt" o:hralign="center" o:hrstd="t" o:hr="t"/>
        </w:pict>
      </w:r>
    </w:p>
    <w:bookmarkEnd w:id="14"/>
    <w:bookmarkStart w:id="15" w:name="stock--sentiment-context"/>
    <w:p>
      <w:pPr>
        <w:pStyle w:val="Heading2"/>
      </w:pPr>
      <w:r>
        <w:t xml:space="preserve">Stock &amp; Sentiment Context</w:t>
      </w:r>
    </w:p>
    <w:p>
      <w:pPr>
        <w:pStyle w:val="FirstParagraph"/>
      </w:pPr>
      <w:r>
        <w:t xml:space="preserve">IR shares are roughly $84–86, up ~6% YTD but down ~14% from the February high near</w:t>
      </w:r>
      <w:r>
        <w:t xml:space="preserve"> </w:t>
      </w:r>
      <m:oMath>
        <m:r>
          <m:t>99</m:t>
        </m:r>
        <m:r>
          <m:rPr>
            <m:sty m:val="p"/>
          </m:rPr>
          <m:t>.</m:t>
        </m:r>
        <m:r>
          <m:t>T</m:t>
        </m:r>
        <m:r>
          <m:t>h</m:t>
        </m:r>
        <m:r>
          <m:t>e</m:t>
        </m:r>
        <m:r>
          <m:t>s</m:t>
        </m:r>
        <m:r>
          <m:t>t</m:t>
        </m:r>
        <m:r>
          <m:t>o</m:t>
        </m:r>
        <m:r>
          <m:t>c</m:t>
        </m:r>
        <m:r>
          <m:t>k</m:t>
        </m:r>
        <m:r>
          <m:t>f</m:t>
        </m:r>
        <m:r>
          <m:t>e</m:t>
        </m:r>
        <m:r>
          <m:t>l</m:t>
        </m:r>
        <m:r>
          <m:t>l</m:t>
        </m:r>
        <m:r>
          <m:t>o</m:t>
        </m:r>
        <m:r>
          <m:t>n</m:t>
        </m:r>
        <m:r>
          <m:t>t</m:t>
        </m:r>
        <m:r>
          <m:t>h</m:t>
        </m:r>
        <m:r>
          <m:t>e</m:t>
        </m:r>
        <m:r>
          <m:t>Q</m:t>
        </m:r>
        <m:r>
          <m:t>1</m:t>
        </m:r>
        <m:r>
          <m:t>p</m:t>
        </m:r>
        <m:r>
          <m:t>r</m:t>
        </m:r>
        <m:r>
          <m:t>i</m:t>
        </m:r>
        <m:r>
          <m:t>n</m:t>
        </m:r>
        <m:r>
          <m:t>t</m:t>
        </m:r>
        <m:r>
          <m:rPr>
            <m:sty m:val="p"/>
          </m:rPr>
          <m:t>(</m:t>
        </m:r>
        <m:r>
          <m:t>f</m:t>
        </m:r>
        <m:r>
          <m:t>r</m:t>
        </m:r>
        <m:r>
          <m:t>o</m:t>
        </m:r>
        <m:r>
          <m:t>m</m:t>
        </m:r>
        <m:r>
          <m:t> </m:t>
        </m:r>
      </m:oMath>
      <w:r>
        <w:t xml:space="preserve">81 to ~$77) and bottomed near $69 in May before recovering. That drawdown reflects the market's skepticism on the ITS margin/organic-growth trajectory — meaning the bar into Q2 is more balanced than demanding. A clean sequential margin improvement, confirmed Middle East order recovery, and any move toward a guidance raise (as happened at Q2 last year) would be the positive catalysts; a purely reaffirmed guide with margin recovery again back-half-weighted risks testing patience.</w:t>
      </w:r>
    </w:p>
    <w:p>
      <w:r>
        <w:pict>
          <v:rect style="width:0;height:1.5pt" o:hralign="center" o:hrstd="t" o:hr="t"/>
        </w:pict>
      </w:r>
    </w:p>
    <w:bookmarkEnd w:id="15"/>
    <w:bookmarkStart w:id="16" w:name="checklist-for-the-print"/>
    <w:p>
      <w:pPr>
        <w:pStyle w:val="Heading2"/>
      </w:pPr>
      <w:r>
        <w:t xml:space="preserve">Checklist for the Print</w:t>
      </w:r>
    </w:p>
    <w:p>
      <w:pPr>
        <w:pStyle w:val="Compact"/>
        <w:numPr>
          <w:ilvl w:val="0"/>
          <w:numId w:val="1003"/>
        </w:numPr>
      </w:pPr>
      <w:r>
        <w:t xml:space="preserve">Adj. EPS vs. ~$0.85 implied; any guidance</w:t>
      </w:r>
      <w:r>
        <w:t xml:space="preserve"> </w:t>
      </w:r>
      <w:r>
        <w:rPr>
          <w:b/>
          <w:bCs/>
        </w:rPr>
        <w:t xml:space="preserve">raise vs. reaffirm</w:t>
      </w:r>
    </w:p>
    <w:p>
      <w:pPr>
        <w:pStyle w:val="Compact"/>
        <w:numPr>
          <w:ilvl w:val="0"/>
          <w:numId w:val="1004"/>
        </w:numPr>
      </w:pPr>
      <w:r>
        <w:t xml:space="preserve">ITS margin: sequential improvement and YoY decline within –50/–100 bps</w:t>
      </w:r>
    </w:p>
    <w:p>
      <w:pPr>
        <w:pStyle w:val="Compact"/>
        <w:numPr>
          <w:ilvl w:val="0"/>
          <w:numId w:val="1005"/>
        </w:numPr>
      </w:pPr>
      <w:r>
        <w:t xml:space="preserve">Total &amp; ITS book-to-bill (&gt;1.0x?) and organic order growth ex-Middle East</w:t>
      </w:r>
    </w:p>
    <w:p>
      <w:pPr>
        <w:pStyle w:val="Compact"/>
        <w:numPr>
          <w:ilvl w:val="0"/>
          <w:numId w:val="1006"/>
        </w:numPr>
      </w:pPr>
      <w:r>
        <w:t xml:space="preserve">Middle East delayed orders: how much recovered</w:t>
      </w:r>
    </w:p>
    <w:p>
      <w:pPr>
        <w:pStyle w:val="Compact"/>
        <w:numPr>
          <w:ilvl w:val="0"/>
          <w:numId w:val="1007"/>
        </w:numPr>
      </w:pPr>
      <w:r>
        <w:t xml:space="preserve">PST/Life Sciences organic growth &amp; margin durability</w:t>
      </w:r>
    </w:p>
    <w:p>
      <w:pPr>
        <w:pStyle w:val="Compact"/>
        <w:numPr>
          <w:ilvl w:val="0"/>
          <w:numId w:val="1008"/>
        </w:numPr>
      </w:pPr>
      <w:r>
        <w:t xml:space="preserve">Tariff commentary — still "net neutral" for the year (Section 232 changes)</w:t>
      </w:r>
    </w:p>
    <w:p>
      <w:pPr>
        <w:pStyle w:val="Compact"/>
        <w:numPr>
          <w:ilvl w:val="0"/>
          <w:numId w:val="1009"/>
        </w:numPr>
      </w:pPr>
      <w:r>
        <w:t xml:space="preserve">Free cash flow (Q1 was light at $163M vs. $223M PY on working capital) — 1H catch-up</w:t>
      </w:r>
    </w:p>
    <w:p>
      <w:pPr>
        <w:pStyle w:val="Compact"/>
        <w:numPr>
          <w:ilvl w:val="0"/>
          <w:numId w:val="1010"/>
        </w:numPr>
      </w:pPr>
      <w:r>
        <w:t xml:space="preserve">M&amp;A: closings, funnel updates, and any move on the &gt;$1B target</w:t>
      </w:r>
    </w:p>
    <w:p>
      <w:pPr>
        <w:pStyle w:val="FirstParagraph"/>
      </w:pPr>
      <w:r>
        <w:rPr>
          <w:i/>
          <w:iCs/>
        </w:rPr>
        <w:t xml:space="preserve">Note on periods: figures reflect the company's reported fiscal periods; Q2 2026 comps are against Q2 2025 (revenue $1,887.9M, adj. EBITDA $509.4M / 27.0% margin, adj. diluted EPS $0.80, orders $1,939.6M).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"/>
  </w:num>
  <w:num w:numId="1004">
    <w:abstractNumId w:val="992"/>
  </w:num>
  <w:num w:numId="1005">
    <w:abstractNumId w:val="992"/>
  </w:num>
  <w:num w:numId="1006">
    <w:abstractNumId w:val="992"/>
  </w:num>
  <w:num w:numId="1007">
    <w:abstractNumId w:val="992"/>
  </w:num>
  <w:num w:numId="1008">
    <w:abstractNumId w:val="992"/>
  </w:num>
  <w:num w:numId="1009">
    <w:abstractNumId w:val="992"/>
  </w:num>
  <w:num w:numId="1010">
    <w:abstractNumId w:val="992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2026-07-29T19:57:08Z</dcterms:created>
  <dcterms:modified xsi:type="dcterms:W3CDTF">2026-07-29T19:57:08Z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