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ingersoll-rand-ir--2q26-earnings-preview"/>
    <w:p>
      <w:pPr>
        <w:pStyle w:val="Heading1"/>
      </w:pPr>
      <w:r>
        <w:t xml:space="preserve">Ingersoll Rand (IR) — 2Q26 Earnings Preview</w:t>
      </w:r>
    </w:p>
    <w:p>
      <w:pPr>
        <w:pStyle w:val="FirstParagraph"/>
      </w:pPr>
      <w:r>
        <w:rPr>
          <w:b/>
          <w:bCs/>
        </w:rPr>
        <w:t xml:space="preserve">Report Date:</w:t>
      </w:r>
      <w:r>
        <w:t xml:space="preserve"> </w:t>
      </w:r>
      <w:r>
        <w:t xml:space="preserve">Thursday, July 30, 2026 (after market close) |</w:t>
      </w:r>
      <w:r>
        <w:t xml:space="preserve"> </w:t>
      </w:r>
      <w:r>
        <w:rPr>
          <w:b/>
          <w:bCs/>
        </w:rPr>
        <w:t xml:space="preserve">Fiscal Period:</w:t>
      </w:r>
      <w:r>
        <w:t xml:space="preserve"> </w:t>
      </w:r>
      <w:r>
        <w:t xml:space="preserve">2026Q2</w:t>
      </w:r>
    </w:p>
    <w:p>
      <w:r>
        <w:pict>
          <v:rect style="width:0;height:1.5pt" o:hralign="center" o:hrstd="t" o:hr="t"/>
        </w:pict>
      </w:r>
    </w:p>
    <w:bookmarkStart w:id="9" w:name="quick-take"/>
    <w:p>
      <w:pPr>
        <w:pStyle w:val="Heading2"/>
      </w:pPr>
      <w:r>
        <w:t xml:space="preserve">Quick Take</w:t>
      </w:r>
    </w:p>
    <w:p>
      <w:pPr>
        <w:pStyle w:val="FirstParagraph"/>
      </w:pPr>
      <w:r>
        <w:t xml:space="preserve">Ingersoll Rand reports second-quarter results tomorrow against a backdrop of a stock that has been volatile in 2026 — down from a February high near $99 to a May low near</w:t>
      </w:r>
      <w:r>
        <w:t xml:space="preserve"> </w:t>
      </w:r>
      <m:oMath>
        <m:r>
          <m:t>68.50</m:t>
        </m:r>
        <m:r>
          <m:rPr>
            <m:sty m:val="p"/>
          </m:rPr>
          <m:t>,</m:t>
        </m:r>
        <m:r>
          <m:t>b</m:t>
        </m:r>
        <m:r>
          <m:t>e</m:t>
        </m:r>
        <m:r>
          <m:t>f</m:t>
        </m:r>
        <m:r>
          <m:t>o</m:t>
        </m:r>
        <m:r>
          <m:t>r</m:t>
        </m:r>
        <m:r>
          <m:t>e</m:t>
        </m:r>
        <m:r>
          <m:t>r</m:t>
        </m:r>
        <m:r>
          <m:t>e</m:t>
        </m:r>
        <m:r>
          <m:t>c</m:t>
        </m:r>
        <m:r>
          <m:t>o</m:t>
        </m:r>
        <m:r>
          <m:t>v</m:t>
        </m:r>
        <m:r>
          <m:t>e</m:t>
        </m:r>
        <m:r>
          <m:t>r</m:t>
        </m:r>
        <m:r>
          <m:t>i</m:t>
        </m:r>
        <m:r>
          <m:t>n</m:t>
        </m:r>
        <m:r>
          <m:t>g</m:t>
        </m:r>
        <m:r>
          <m:t>t</m:t>
        </m:r>
        <m:r>
          <m:t>o</m:t>
        </m:r>
        <m:r>
          <m:t>t</m:t>
        </m:r>
        <m:r>
          <m:t>h</m:t>
        </m:r>
        <m:r>
          <m:t>e</m:t>
        </m:r>
        <m:r>
          <m:t>m</m:t>
        </m:r>
        <m:r>
          <m:t>i</m:t>
        </m:r>
        <m:r>
          <m:t>d</m:t>
        </m:r>
        <m:r>
          <m:rPr>
            <m:sty m:val="p"/>
          </m:rPr>
          <m:t>−</m:t>
        </m:r>
      </m:oMath>
      <w:r>
        <w:t xml:space="preserve">80s heading into print (closed $84.63 on 7/29). The setup is a "show-me" quarter: management has repeatedly told investors that Q1 was the toughest print of the year and that margins and organic growth should inflect sequentially through 2026, with the bulk of the improvement weighted to the second half. Q2 is the bridge quarter — investors will be looking for proof that the recovery narrative is on track before the more decisive back-half acceleration.</w:t>
      </w:r>
    </w:p>
    <w:p>
      <w:pPr>
        <w:pStyle w:val="BodyText"/>
      </w:pPr>
      <w:r>
        <w:rPr>
          <w:b/>
          <w:bCs/>
        </w:rPr>
        <w:t xml:space="preserve">Consensus for Q2:</w:t>
      </w:r>
      <w:r>
        <w:t xml:space="preserve"> </w:t>
      </w:r>
      <w:r>
        <w:t xml:space="preserve">Adjusted EPS of roughly</w:t>
      </w:r>
      <w:r>
        <w:t xml:space="preserve"> </w:t>
      </w:r>
      <m:oMath>
        <m:r>
          <m:t>0.80</m:t>
        </m:r>
        <m:r>
          <m:rPr>
            <m:sty m:val="p"/>
          </m:rPr>
          <m:t>–</m:t>
        </m:r>
      </m:oMath>
      <w:r>
        <w:rPr>
          <w:b/>
          <w:bCs/>
        </w:rPr>
        <w:t xml:space="preserve">0.83</w:t>
      </w:r>
      <w:r>
        <w:t xml:space="preserve"> </w:t>
      </w:r>
      <w:r>
        <w:t xml:space="preserve">on revenue of about</w:t>
      </w:r>
      <w:r>
        <w:t xml:space="preserve"> </w:t>
      </w:r>
      <w:r>
        <w:rPr>
          <w:b/>
          <w:bCs/>
        </w:rPr>
        <w:t xml:space="preserve">$1.96B</w:t>
      </w:r>
      <w:r>
        <w:t xml:space="preserve"> </w:t>
      </w:r>
      <w:r>
        <w:t xml:space="preserve">(~3.8% growth), with Zacks noting an Earnings ESP of +0.61% and a track record of beating or meeting consensus in the trailing four quarters (average surprise +2.4%).</w:t>
      </w:r>
    </w:p>
    <w:p>
      <w:r>
        <w:pict>
          <v:rect style="width:0;height:1.5pt" o:hralign="center" o:hrstd="t" o:hr="t"/>
        </w:pict>
      </w:r>
    </w:p>
    <w:bookmarkEnd w:id="9"/>
    <w:bookmarkStart w:id="10" w:name="X9509d090d4b06b279cf84735277ff0087a85df4"/>
    <w:p>
      <w:pPr>
        <w:pStyle w:val="Heading2"/>
      </w:pPr>
      <w:r>
        <w:t xml:space="preserve">1. What Happened Last Quarter (1Q26 Recap)</w:t>
      </w:r>
    </w:p>
    <w:p>
      <w:pPr>
        <w:pStyle w:val="FirstParagraph"/>
      </w:pPr>
      <w:r>
        <w:t xml:space="preserve">Ingersoll Rand's Q1 came in largely as expected, providing the baseline for this quarter's comparisons:</w:t>
      </w:r>
    </w:p>
    <w:p>
      <w:pPr>
        <w:pStyle w:val="Compact"/>
        <w:numPr>
          <w:ilvl w:val="0"/>
          <w:numId w:val="1001"/>
        </w:numPr>
      </w:pPr>
      <w:r>
        <w:t xml:space="preserve">"Adjusted EPS grew high single digits with revenue and adjusted EBITDA finishing in line with expectations." Revenue grew 8% year-over-year, and orders finished up 5% year-over-year, resulting in a book-to-bill of 1.07x, which is consistent with normal seasonality.</w:t>
      </w:r>
    </w:p>
    <w:p>
      <w:pPr>
        <w:pStyle w:val="Compact"/>
        <w:numPr>
          <w:ilvl w:val="0"/>
          <w:numId w:val="1001"/>
        </w:numPr>
      </w:pPr>
      <w:r>
        <w:t xml:space="preserve">Margins compressed: Adjusted EBITDA as a percentage of revenues decreased 140 basis points to 25.4%... primarily due to the favorable impact of foreign currencies of $17.2 million, acquisitions of $14.1 million and lower selling and administrative costs of $6.2 million, partially offset by lower organic gross profit of $27.8 million.</w:t>
      </w:r>
    </w:p>
    <w:p>
      <w:pPr>
        <w:pStyle w:val="Compact"/>
        <w:numPr>
          <w:ilvl w:val="0"/>
          <w:numId w:val="1001"/>
        </w:numPr>
      </w:pPr>
      <w:r>
        <w:t xml:space="preserve">The ITS segment saw the most margin pressure — Segment Adjusted EBITDA Margin decreased 210 basis points to 26.7% from 28.8% in 2025... primarily due to lower organic gross profit of $37.4 million or 9.6%. By contrast, PST margins expanded 120bps to 30.3%, driven by higher organic gross profit.</w:t>
      </w:r>
    </w:p>
    <w:p>
      <w:pPr>
        <w:pStyle w:val="Compact"/>
        <w:numPr>
          <w:ilvl w:val="0"/>
          <w:numId w:val="1001"/>
        </w:numPr>
      </w:pPr>
      <w:r>
        <w:t xml:space="preserve">A notable one-off: "we did see a delay in orders of approximately $40 million, which was driven by a few long-cycle projects. This delay was primarily driven by the conflict in the Middle East... we have already recovered approximately 1/3 of these orders in the month of April." Excluding that, organic orders would have been roughly flat.</w:t>
      </w:r>
    </w:p>
    <w:bookmarkEnd w:id="10"/>
    <w:bookmarkStart w:id="11" w:name="X9d68405208aad5b3f229309c02b33c1aeefb838"/>
    <w:p>
      <w:pPr>
        <w:pStyle w:val="Heading2"/>
      </w:pPr>
      <w:r>
        <w:t xml:space="preserve">2. Full-Year 2026 Guidance (Reaffirmed in April)</w:t>
      </w:r>
    </w:p>
    <w:p>
      <w:pPr>
        <w:pStyle w:val="FirstParagraph"/>
      </w:pPr>
      <w:r>
        <w:t xml:space="preserve">Management reaffirmed FY26 guidance on the Q1 call, which sets the framework investors will grade Q2 against:</w:t>
      </w:r>
    </w:p>
    <w:p>
      <w:pPr>
        <w:pStyle w:val="Compact"/>
        <w:numPr>
          <w:ilvl w:val="0"/>
          <w:numId w:val="1002"/>
        </w:numPr>
      </w:pPr>
      <w:r>
        <w:t xml:space="preserve">Total company revenue is expected to grow between 2.5% and 4.5%, driven by organic growth of 1% at the midpoint, growth from M&amp;A of approximately 2%... And finally, we expect FX to be a tailwind of approximately 0.5%.</w:t>
      </w:r>
    </w:p>
    <w:p>
      <w:pPr>
        <w:pStyle w:val="Compact"/>
        <w:numPr>
          <w:ilvl w:val="0"/>
          <w:numId w:val="1002"/>
        </w:numPr>
      </w:pPr>
      <w:r>
        <w:t xml:space="preserve">Total adjusted EBITDA for the company is expected to be in the range of $2.13 billion and $2.19 billion... Adjusted EPS is projected to fall within the range of $3.45 and $3.57, which is approximately 5% growth at the midpoint.</w:t>
      </w:r>
    </w:p>
    <w:p>
      <w:pPr>
        <w:pStyle w:val="Compact"/>
        <w:numPr>
          <w:ilvl w:val="0"/>
          <w:numId w:val="1002"/>
        </w:numPr>
      </w:pPr>
      <w:r>
        <w:t xml:space="preserve">Phasing guidance given on the Q1 call specifically for Q2: "First half of the year being in that kind of 45.5% to 46% range [of full-year EBITDA], the balance in the second half... in Q2, margins, we do still expect to be slightly down year-over-year, kind of in that 50 to 100 basis point kind of range. It's primarily driven by ITS. We do still expect to see continued margin expansion year-over-year on the PST side." Organic revenue for Q2 was guided to be "flattish to slightly up", with low-single-digit organic growth expected in the second half.</w:t>
      </w:r>
    </w:p>
    <w:p>
      <w:pPr>
        <w:pStyle w:val="FirstParagraph"/>
      </w:pPr>
      <w:r>
        <w:rPr>
          <w:b/>
          <w:bCs/>
        </w:rPr>
        <w:t xml:space="preserve">Bottom line for Q2:</w:t>
      </w:r>
      <w:r>
        <w:t xml:space="preserve"> </w:t>
      </w:r>
      <w:r>
        <w:t xml:space="preserve">Investors should expect roughly flat-to-slightly-positive organic revenue, EBITDA margin still down modestly year-over-year (concentrated in ITS), and full-year guidance likely reaffirmed rather than raised or cut, absent a major surprise.</w:t>
      </w:r>
    </w:p>
    <w:bookmarkEnd w:id="11"/>
    <w:bookmarkStart w:id="18" w:name="Xaef221aaad732c6d49c85b538c7210226d6a6fd"/>
    <w:p>
      <w:pPr>
        <w:pStyle w:val="Heading2"/>
      </w:pPr>
      <w:r>
        <w:t xml:space="preserve">3. Key Themes to Watch on the Call</w:t>
      </w:r>
    </w:p>
    <w:bookmarkStart w:id="12" w:name="Xaf42b9e092701f02d01059c416a23e2a0699f77"/>
    <w:p>
      <w:pPr>
        <w:pStyle w:val="Heading3"/>
      </w:pPr>
      <w:r>
        <w:t xml:space="preserve">a) Margin inflection bridge — does the "back-half ramp" story stay intact?</w:t>
      </w:r>
    </w:p>
    <w:p>
      <w:pPr>
        <w:pStyle w:val="FirstParagraph"/>
      </w:pPr>
      <w:r>
        <w:t xml:space="preserve">Management has built a detailed bridge for why margins should improve from Q2 into 2H: volume flow-through as revenue improves, full lapping of 2025 tariff-driven pricing actions, normal-course pricing returning to a 1–2% run rate, restructuring benefits maturing, and direct-material productivity initiatives that are seasonally stronger in the back half. At the June Wells Fargo conference, CFO Vik Kini reiterated: "as we move to the first half of this year, you're kind of annualizing the tariff actions that were taken last year... there are in-year pricing actions that are being taken right now... that should lend itself to a slightly better pricing equation, price cost in the back half." Any signs that this bridge is slipping (e.g., commodity/tariff reacceleration, weaker-than-expected volume) would be a red flag.</w:t>
      </w:r>
    </w:p>
    <w:bookmarkEnd w:id="12"/>
    <w:bookmarkStart w:id="13" w:name="b-short-cycle-demand-trajectory"/>
    <w:p>
      <w:pPr>
        <w:pStyle w:val="Heading3"/>
      </w:pPr>
      <w:r>
        <w:t xml:space="preserve">b) Short-cycle demand trajectory</w:t>
      </w:r>
    </w:p>
    <w:p>
      <w:pPr>
        <w:pStyle w:val="FirstParagraph"/>
      </w:pPr>
      <w:r>
        <w:t xml:space="preserve">Management has pointed to sequential improvement in short-cycle indicators — U.S. compressor stabilization, blower/vacuum strength, and core tools growing organically mid-single digits. On the Q1 call: "we saw progressive improvement, I would say, on the short-cycle through the quarter and kind of as we continue... moving into the month of April. But order cadence continues to go fairly well in terms of -- in line with expectations." Investors will want an update on whether this momentum continued through Q2 and into July.</w:t>
      </w:r>
    </w:p>
    <w:bookmarkEnd w:id="13"/>
    <w:bookmarkStart w:id="14" w:name="c-middle-east-long-cycle-order-recovery"/>
    <w:p>
      <w:pPr>
        <w:pStyle w:val="Heading3"/>
      </w:pPr>
      <w:r>
        <w:t xml:space="preserve">c) Middle East long-cycle order recovery</w:t>
      </w:r>
    </w:p>
    <w:p>
      <w:pPr>
        <w:pStyle w:val="FirstParagraph"/>
      </w:pPr>
      <w:r>
        <w:t xml:space="preserve">The ~$40M of delayed Middle East orders was the standout Q1 talking point. Management indicated no expected impact on full year revenue or adjusted EBITDA and that a third of the delayed orders had already booked by April. Given continued geopolitical escalation in the region through July (oil price spikes, ongoing conflict headlines), watch for commentary on whether the remaining two-thirds of delayed orders came through in Q2, or whether the situation has worsened.</w:t>
      </w:r>
    </w:p>
    <w:bookmarkEnd w:id="14"/>
    <w:bookmarkStart w:id="15" w:name="d-life-sciences--pst-momentum"/>
    <w:p>
      <w:pPr>
        <w:pStyle w:val="Heading3"/>
      </w:pPr>
      <w:r>
        <w:t xml:space="preserve">d) Life Sciences / PST momentum</w:t>
      </w:r>
    </w:p>
    <w:p>
      <w:pPr>
        <w:pStyle w:val="FirstParagraph"/>
      </w:pPr>
      <w:r>
        <w:t xml:space="preserve">PST has been the relative bright spot — "Our Life Science business maintained robust growth with a double-digit increase in orders" in Q1, and Kini noted three consecutive quarters of PST segment EBITDA margins above 30%, with a medium-term target in the mid-30s. Continued double-digit growth in Life Sciences (particularly biopharma/ILC Dover) and sustained margin expansion here would support the segment's re-rating as a growth driver.</w:t>
      </w:r>
    </w:p>
    <w:bookmarkEnd w:id="15"/>
    <w:bookmarkStart w:id="16" w:name="e-ma-pipeline-execution"/>
    <w:p>
      <w:pPr>
        <w:pStyle w:val="Heading3"/>
      </w:pPr>
      <w:r>
        <w:t xml:space="preserve">e) M&amp;A pipeline execution</w:t>
      </w:r>
    </w:p>
    <w:p>
      <w:pPr>
        <w:pStyle w:val="FirstParagraph"/>
      </w:pPr>
      <w:r>
        <w:t xml:space="preserve">IR's inorganic growth engine remains central to the thesis: "Today, we have over 200 companies in our funnel with 10 transactions currently at the LOI stage. More than 90% of these opportunities remain internally sourced." The company also disclosed a pending deal north of</w:t>
      </w:r>
      <w:r>
        <w:t xml:space="preserve"> </w:t>
      </w:r>
      <m:oMath>
        <m:r>
          <m:t>1</m:t>
        </m:r>
        <m:r>
          <m:t>B</m:t>
        </m:r>
        <m:r>
          <m:t>i</m:t>
        </m:r>
        <m:r>
          <m:t>n</m:t>
        </m:r>
        <m:r>
          <m:t>t</m:t>
        </m:r>
        <m:r>
          <m:t>h</m:t>
        </m:r>
        <m:r>
          <m:t>e</m:t>
        </m:r>
        <m:r>
          <m:t>f</m:t>
        </m:r>
        <m:r>
          <m:t>u</m:t>
        </m:r>
        <m:r>
          <m:t>n</m:t>
        </m:r>
        <m:r>
          <m:t>n</m:t>
        </m:r>
        <m:r>
          <m:t>e</m:t>
        </m:r>
        <m:r>
          <m:t>l</m:t>
        </m:r>
        <m:r>
          <m:rPr>
            <m:sty m:val="p"/>
          </m:rPr>
          <m:t>(</m:t>
        </m:r>
        <m:r>
          <m:t>t</m:t>
        </m:r>
        <m:r>
          <m:t>h</m:t>
        </m:r>
        <m:r>
          <m:t>o</m:t>
        </m:r>
        <m:r>
          <m:t>u</m:t>
        </m:r>
        <m:r>
          <m:t>g</m:t>
        </m:r>
        <m:r>
          <m:t>h</m:t>
        </m:r>
        <m:r>
          <m:t>n</m:t>
        </m:r>
        <m:r>
          <m:t>o</m:t>
        </m:r>
        <m:r>
          <m:t>t</m:t>
        </m:r>
        <m:r>
          <m:t>y</m:t>
        </m:r>
        <m:r>
          <m:t>e</m:t>
        </m:r>
        <m:r>
          <m:t>t</m:t>
        </m:r>
        <m:r>
          <m:t>a</m:t>
        </m:r>
        <m:r>
          <m:t>t</m:t>
        </m:r>
        <m:r>
          <m:t>L</m:t>
        </m:r>
        <m:r>
          <m:t>O</m:t>
        </m:r>
        <m:r>
          <m:t>I</m:t>
        </m:r>
        <m:r>
          <m:rPr>
            <m:sty m:val="p"/>
          </m:rPr>
          <m:t>)</m:t>
        </m:r>
        <m:r>
          <m:rPr>
            <m:sty m:val="p"/>
          </m:rPr>
          <m:t>.</m:t>
        </m:r>
        <m:r>
          <m:t>W</m:t>
        </m:r>
        <m:r>
          <m:t>a</m:t>
        </m:r>
        <m:r>
          <m:t>t</m:t>
        </m:r>
        <m:r>
          <m:t>c</m:t>
        </m:r>
        <m:r>
          <m:t>h</m:t>
        </m:r>
        <m:r>
          <m:t>f</m:t>
        </m:r>
        <m:r>
          <m:t>o</m:t>
        </m:r>
        <m:r>
          <m:t>r</m:t>
        </m:r>
        <m:r>
          <m:t>u</m:t>
        </m:r>
        <m:r>
          <m:t>p</m:t>
        </m:r>
        <m:r>
          <m:t>d</m:t>
        </m:r>
        <m:r>
          <m:t>a</m:t>
        </m:r>
        <m:r>
          <m:t>t</m:t>
        </m:r>
        <m:r>
          <m:t>e</m:t>
        </m:r>
        <m:r>
          <m:t>s</m:t>
        </m:r>
        <m:r>
          <m:t>o</m:t>
        </m:r>
        <m:r>
          <m:t>n</m:t>
        </m:r>
        <m:r>
          <m:t>d</m:t>
        </m:r>
        <m:r>
          <m:t>e</m:t>
        </m:r>
        <m:r>
          <m:t>a</m:t>
        </m:r>
        <m:r>
          <m:t>l</m:t>
        </m:r>
        <m:r>
          <m:t>c</m:t>
        </m:r>
        <m:r>
          <m:t>l</m:t>
        </m:r>
        <m:r>
          <m:t>o</m:t>
        </m:r>
        <m:r>
          <m:t>s</m:t>
        </m:r>
        <m:r>
          <m:t>i</m:t>
        </m:r>
        <m:r>
          <m:t>n</m:t>
        </m:r>
        <m:r>
          <m:t>g</m:t>
        </m:r>
        <m:r>
          <m:t>s</m:t>
        </m:r>
        <m:r>
          <m:rPr>
            <m:sty m:val="p"/>
          </m:rPr>
          <m:t>(</m:t>
        </m:r>
        <m:r>
          <m:t>e</m:t>
        </m:r>
        <m:r>
          <m:rPr>
            <m:sty m:val="p"/>
          </m:rPr>
          <m:t>.</m:t>
        </m:r>
        <m:r>
          <m:t>g</m:t>
        </m:r>
        <m:r>
          <m:rPr>
            <m:sty m:val="p"/>
          </m:rPr>
          <m:t>.</m:t>
        </m:r>
        <m:r>
          <m:rPr>
            <m:sty m:val="p"/>
          </m:rPr>
          <m:t>,</m:t>
        </m:r>
        <m:r>
          <m:t>F</m:t>
        </m:r>
        <m:r>
          <m:t>o</m:t>
        </m:r>
        <m:r>
          <m:t>x</m:t>
        </m:r>
        <m:r>
          <m:t>s</m:t>
        </m:r>
        <m:r>
          <m:rPr>
            <m:sty m:val="p"/>
          </m:rPr>
          <m:t>.</m:t>
        </m:r>
        <m:r>
          <m:t>r</m:t>
        </m:r>
        <m:r>
          <m:rPr>
            <m:sty m:val="p"/>
          </m:rPr>
          <m:t>.</m:t>
        </m:r>
        <m:r>
          <m:t>l</m:t>
        </m:r>
        <m:r>
          <m:rPr>
            <m:sty m:val="p"/>
          </m:rPr>
          <m:t>.</m:t>
        </m:r>
        <m:r>
          <m:rPr>
            <m:sty m:val="p"/>
          </m:rPr>
          <m:t>,</m:t>
        </m:r>
        <m:r>
          <m:t>e</m:t>
        </m:r>
        <m:r>
          <m:t>x</m:t>
        </m:r>
        <m:r>
          <m:t>p</m:t>
        </m:r>
        <m:r>
          <m:t>e</m:t>
        </m:r>
        <m:r>
          <m:t>c</m:t>
        </m:r>
        <m:r>
          <m:t>t</m:t>
        </m:r>
        <m:r>
          <m:t>e</m:t>
        </m:r>
        <m:r>
          <m:t>d</m:t>
        </m:r>
        <m:r>
          <m:t>t</m:t>
        </m:r>
        <m:r>
          <m:t>o</m:t>
        </m:r>
        <m:r>
          <m:t>c</m:t>
        </m:r>
        <m:r>
          <m:t>l</m:t>
        </m:r>
        <m:r>
          <m:t>o</m:t>
        </m:r>
        <m:r>
          <m:t>s</m:t>
        </m:r>
        <m:r>
          <m:t>e</m:t>
        </m:r>
        <m:r>
          <m:t>e</m:t>
        </m:r>
        <m:r>
          <m:t>n</m:t>
        </m:r>
        <m:r>
          <m:t>d</m:t>
        </m:r>
        <m:r>
          <m:t>o</m:t>
        </m:r>
        <m:r>
          <m:t>f</m:t>
        </m:r>
        <m:r>
          <m:t>A</m:t>
        </m:r>
        <m:r>
          <m:t>p</m:t>
        </m:r>
        <m:r>
          <m:t>r</m:t>
        </m:r>
        <m:r>
          <m:t>i</m:t>
        </m:r>
        <m:r>
          <m:t>l</m:t>
        </m:r>
        <m:r>
          <m:rPr>
            <m:sty m:val="p"/>
          </m:rPr>
          <m:t>)</m:t>
        </m:r>
        <m:r>
          <m:t>a</m:t>
        </m:r>
        <m:r>
          <m:t>n</m:t>
        </m:r>
        <m:r>
          <m:t>d</m:t>
        </m:r>
        <m:r>
          <m:t>p</m:t>
        </m:r>
        <m:r>
          <m:t>r</m:t>
        </m:r>
        <m:r>
          <m:t>o</m:t>
        </m:r>
        <m:r>
          <m:t>g</m:t>
        </m:r>
        <m:r>
          <m:t>r</m:t>
        </m:r>
        <m:r>
          <m:t>e</m:t>
        </m:r>
        <m:r>
          <m:t>s</m:t>
        </m:r>
        <m:r>
          <m:t>s</m:t>
        </m:r>
        <m:r>
          <m:t>t</m:t>
        </m:r>
        <m:r>
          <m:t>o</m:t>
        </m:r>
        <m:r>
          <m:t>w</m:t>
        </m:r>
        <m:r>
          <m:t>a</m:t>
        </m:r>
        <m:r>
          <m:t>r</m:t>
        </m:r>
        <m:r>
          <m:t>d</m:t>
        </m:r>
        <m:r>
          <m:t>t</m:t>
        </m:r>
        <m:r>
          <m:t>h</m:t>
        </m:r>
        <m:r>
          <m:t>e</m:t>
        </m:r>
        <m:r>
          <m:t>400</m:t>
        </m:r>
        <m:r>
          <m:t>t</m:t>
        </m:r>
        <m:r>
          <m:t>o</m:t>
        </m:r>
        <m:r>
          <m:t>500</m:t>
        </m:r>
        <m:r>
          <m:t>b</m:t>
        </m:r>
        <m:r>
          <m:t>a</m:t>
        </m:r>
        <m:r>
          <m:t>s</m:t>
        </m:r>
        <m:r>
          <m:t>i</m:t>
        </m:r>
        <m:r>
          <m:t>s</m:t>
        </m:r>
        <m:r>
          <m:t>p</m:t>
        </m:r>
        <m:r>
          <m:t>o</m:t>
        </m:r>
        <m:r>
          <m:t>i</m:t>
        </m:r>
        <m:r>
          <m:t>n</m:t>
        </m:r>
        <m:r>
          <m:t>t</m:t>
        </m:r>
        <m:r>
          <m:t>s</m:t>
        </m:r>
        <m:r>
          <m:t>o</m:t>
        </m:r>
        <m:r>
          <m:t>f</m:t>
        </m:r>
        <m:r>
          <m:t>a</m:t>
        </m:r>
        <m:r>
          <m:t>n</m:t>
        </m:r>
        <m:r>
          <m:t>n</m:t>
        </m:r>
        <m:r>
          <m:t>u</m:t>
        </m:r>
        <m:r>
          <m:t>a</m:t>
        </m:r>
        <m:r>
          <m:t>l</m:t>
        </m:r>
        <m:r>
          <m:t>i</m:t>
        </m:r>
        <m:r>
          <m:t>z</m:t>
        </m:r>
        <m:r>
          <m:t>e</m:t>
        </m:r>
        <m:r>
          <m:t>d</m:t>
        </m:r>
        <m:r>
          <m:t>i</m:t>
        </m:r>
        <m:r>
          <m:t>n</m:t>
        </m:r>
        <m:r>
          <m:t>o</m:t>
        </m:r>
        <m:r>
          <m:t>r</m:t>
        </m:r>
        <m:r>
          <m:t>g</m:t>
        </m:r>
        <m:r>
          <m:t>a</m:t>
        </m:r>
        <m:r>
          <m:t>n</m:t>
        </m:r>
        <m:r>
          <m:t>i</m:t>
        </m:r>
        <m:r>
          <m:t>c</m:t>
        </m:r>
        <m:r>
          <m:t>r</m:t>
        </m:r>
        <m:r>
          <m:t>e</m:t>
        </m:r>
        <m:r>
          <m:t>v</m:t>
        </m:r>
        <m:r>
          <m:t>e</m:t>
        </m:r>
        <m:r>
          <m:t>n</m:t>
        </m:r>
        <m:r>
          <m:t>u</m:t>
        </m:r>
        <m:r>
          <m:t>e</m:t>
        </m:r>
        <m:r>
          <m:t>t</m:t>
        </m:r>
        <m:r>
          <m:t>a</m:t>
        </m:r>
        <m:r>
          <m:t>r</m:t>
        </m:r>
        <m:r>
          <m:t>g</m:t>
        </m:r>
        <m:r>
          <m:t>e</m:t>
        </m:r>
        <m:r>
          <m:t>t</m:t>
        </m:r>
        <m:r>
          <m:rPr>
            <m:sty m:val="p"/>
          </m:rPr>
          <m:t>,</m:t>
        </m:r>
        <m:r>
          <m:t>a</m:t>
        </m:r>
        <m:r>
          <m:t>s</m:t>
        </m:r>
        <m:r>
          <m:t>w</m:t>
        </m:r>
        <m:r>
          <m:t>e</m:t>
        </m:r>
        <m:r>
          <m:t>l</m:t>
        </m:r>
        <m:r>
          <m:t>l</m:t>
        </m:r>
        <m:r>
          <m:t>a</m:t>
        </m:r>
        <m:r>
          <m:t>s</m:t>
        </m:r>
        <m:r>
          <m:t>a</m:t>
        </m:r>
        <m:r>
          <m:t>n</m:t>
        </m:r>
        <m:r>
          <m:t>y</m:t>
        </m:r>
        <m:r>
          <m:t>c</m:t>
        </m:r>
        <m:r>
          <m:t>o</m:t>
        </m:r>
        <m:r>
          <m:t>m</m:t>
        </m:r>
        <m:r>
          <m:t>m</m:t>
        </m:r>
        <m:r>
          <m:t>e</m:t>
        </m:r>
        <m:r>
          <m:t>n</m:t>
        </m:r>
        <m:r>
          <m:t>t</m:t>
        </m:r>
        <m:r>
          <m:t>a</m:t>
        </m:r>
        <m:r>
          <m:t>r</m:t>
        </m:r>
        <m:r>
          <m:t>y</m:t>
        </m:r>
        <m:r>
          <m:t>o</m:t>
        </m:r>
        <m:r>
          <m:t>n</m:t>
        </m:r>
        <m:r>
          <m:t>t</m:t>
        </m:r>
        <m:r>
          <m:t>h</m:t>
        </m:r>
        <m:r>
          <m:t>e</m:t>
        </m:r>
        <m:r>
          <m:t>l</m:t>
        </m:r>
        <m:r>
          <m:t>a</m:t>
        </m:r>
        <m:r>
          <m:t>r</m:t>
        </m:r>
        <m:r>
          <m:t>g</m:t>
        </m:r>
        <m:r>
          <m:t>e</m:t>
        </m:r>
        <m:r>
          <m:t>r</m:t>
        </m:r>
        <m:r>
          <m:t> </m:t>
        </m:r>
      </m:oMath>
      <w:r>
        <w:t xml:space="preserve">1B+ transaction.</w:t>
      </w:r>
    </w:p>
    <w:bookmarkEnd w:id="16"/>
    <w:bookmarkStart w:id="17" w:name="f-tarifftrade-policy-backdrop"/>
    <w:p>
      <w:pPr>
        <w:pStyle w:val="Heading3"/>
      </w:pPr>
      <w:r>
        <w:t xml:space="preserve">f) Tariff/trade policy backdrop</w:t>
      </w:r>
    </w:p>
    <w:p>
      <w:pPr>
        <w:pStyle w:val="FirstParagraph"/>
      </w:pPr>
      <w:r>
        <w:t xml:space="preserve">Broader trade-policy noise has intensified into late July — new Section 301 tariffs, Swiss tariffs, and legal challenges to the administration's tariff regime are all active. IR's own 10-Q flags this as an ongoing risk: "the current U.S. presidential administration has signaled its intention to implement significant changes to U.S. trade policy... these developments have not had a material impact on our financial condition or results of operations to date, due to their evolving nature... we cannot predict with certainty the ultimate impacts they may have on our business and results in the future, but those impacts could be material." Management's prior stance was that tariff/inflation nets out roughly neutral for 2026 — any change to that view would move the stock.</w:t>
      </w:r>
    </w:p>
    <w:bookmarkEnd w:id="17"/>
    <w:bookmarkEnd w:id="18"/>
    <w:bookmarkStart w:id="19" w:name="X8abb2dcce58937a4c6f6c4c1bc7a17202fa792c"/>
    <w:p>
      <w:pPr>
        <w:pStyle w:val="Heading2"/>
      </w:pPr>
      <w:r>
        <w:t xml:space="preserve">4. Balance Sheet &amp; Capital Allocation</w:t>
      </w:r>
    </w:p>
    <w:p>
      <w:pPr>
        <w:pStyle w:val="FirstParagraph"/>
      </w:pPr>
      <w:r>
        <w:t xml:space="preserve">IR entered Q2 with ample flexibility: "With nearly $4 billion in total liquidity, our balance sheet remains a strategic asset... Our leverage remains well below 2x." As of Q1-end, the company had $2,600.0 million of unused availability under both the Revolving Credit Facility and Commercial Paper Program and was in compliance with all of our debt covenants. Capital priorities remain unchanged: M&amp;A first, then buybacks and dividends.</w:t>
      </w:r>
    </w:p>
    <w:bookmarkEnd w:id="19"/>
    <w:bookmarkStart w:id="20" w:name="X81c560be39c7a3c405fb23c910360b0231ca68e"/>
    <w:p>
      <w:pPr>
        <w:pStyle w:val="Heading2"/>
      </w:pPr>
      <w:r>
        <w:t xml:space="preserve">5. Stock Setup Into the Print</w:t>
      </w:r>
    </w:p>
    <w:p>
      <w:pPr>
        <w:pStyle w:val="FirstParagraph"/>
      </w:pPr>
      <w:r>
        <w:t xml:space="preserve">IR shares have been on a wide round trip in 2026 — from ~$80 in January to a peak near</w:t>
      </w:r>
      <w:r>
        <w:t xml:space="preserve"> </w:t>
      </w:r>
      <m:oMath>
        <m:r>
          <m:t>99</m:t>
        </m:r>
        <m:r>
          <m:t>i</m:t>
        </m:r>
        <m:r>
          <m:t>n</m:t>
        </m:r>
        <m:r>
          <m:t>e</m:t>
        </m:r>
        <m:r>
          <m:t>a</m:t>
        </m:r>
        <m:r>
          <m:t>r</m:t>
        </m:r>
        <m:r>
          <m:t>l</m:t>
        </m:r>
        <m:r>
          <m:t>y</m:t>
        </m:r>
        <m:r>
          <m:t>F</m:t>
        </m:r>
        <m:r>
          <m:t>e</m:t>
        </m:r>
        <m:r>
          <m:t>b</m:t>
        </m:r>
        <m:r>
          <m:t>r</m:t>
        </m:r>
        <m:r>
          <m:t>u</m:t>
        </m:r>
        <m:r>
          <m:t>a</m:t>
        </m:r>
        <m:r>
          <m:t>r</m:t>
        </m:r>
        <m:r>
          <m:t>y</m:t>
        </m:r>
        <m:r>
          <m:rPr>
            <m:sty m:val="p"/>
          </m:rPr>
          <m:t>,</m:t>
        </m:r>
        <m:r>
          <m:t>a</m:t>
        </m:r>
        <m:r>
          <m:t>s</m:t>
        </m:r>
        <m:r>
          <m:t>l</m:t>
        </m:r>
        <m:r>
          <m:t>i</m:t>
        </m:r>
        <m:r>
          <m:t>d</m:t>
        </m:r>
        <m:r>
          <m:t>e</m:t>
        </m:r>
        <m:r>
          <m:t>t</m:t>
        </m:r>
        <m:r>
          <m:t>o</m:t>
        </m:r>
        <m:r>
          <m:t> </m:t>
        </m:r>
      </m:oMath>
      <w:r>
        <w:t xml:space="preserve">68.50 by mid-May (post-Q1 disappointment on guidance optics and margin compression), and a recovery back to the mid-</w:t>
      </w:r>
      <m:oMath>
        <m:r>
          <m:t>80</m:t>
        </m:r>
        <m:r>
          <m:t>s</m:t>
        </m:r>
        <m:r>
          <m:t>o</m:t>
        </m:r>
        <m:r>
          <m:t>v</m:t>
        </m:r>
        <m:r>
          <m:t>e</m:t>
        </m:r>
        <m:r>
          <m:t>r</m:t>
        </m:r>
        <m:r>
          <m:t>J</m:t>
        </m:r>
        <m:r>
          <m:t>u</m:t>
        </m:r>
        <m:r>
          <m:t>n</m:t>
        </m:r>
        <m:r>
          <m:t>e</m:t>
        </m:r>
        <m:r>
          <m:rPr>
            <m:sty m:val="p"/>
          </m:rPr>
          <m:t>–</m:t>
        </m:r>
        <m:r>
          <m:t>J</m:t>
        </m:r>
        <m:r>
          <m:t>u</m:t>
        </m:r>
        <m:r>
          <m:t>l</m:t>
        </m:r>
        <m:r>
          <m:t>y</m:t>
        </m:r>
        <m:r>
          <m:t>a</m:t>
        </m:r>
        <m:r>
          <m:t>s</m:t>
        </m:r>
        <m:r>
          <m:t>s</m:t>
        </m:r>
        <m:r>
          <m:t>h</m:t>
        </m:r>
        <m:r>
          <m:t>o</m:t>
        </m:r>
        <m:r>
          <m:t>r</m:t>
        </m:r>
        <m:r>
          <m:t>t</m:t>
        </m:r>
        <m:r>
          <m:rPr>
            <m:sty m:val="p"/>
          </m:rPr>
          <m:t>−</m:t>
        </m:r>
        <m:r>
          <m:t>c</m:t>
        </m:r>
        <m:r>
          <m:t>y</m:t>
        </m:r>
        <m:r>
          <m:t>c</m:t>
        </m:r>
        <m:r>
          <m:t>l</m:t>
        </m:r>
        <m:r>
          <m:t>e</m:t>
        </m:r>
        <m:r>
          <m:t>d</m:t>
        </m:r>
        <m:r>
          <m:t>a</m:t>
        </m:r>
        <m:r>
          <m:t>t</m:t>
        </m:r>
        <m:r>
          <m:t>a</m:t>
        </m:r>
        <m:r>
          <m:rPr>
            <m:sty m:val="p"/>
          </m:rPr>
          <m:t>(</m:t>
        </m:r>
        <m:r>
          <m:t>I</m:t>
        </m:r>
        <m:r>
          <m:t>S</m:t>
        </m:r>
        <m:r>
          <m:t>M</m:t>
        </m:r>
        <m:r>
          <m:t>b</m:t>
        </m:r>
        <m:r>
          <m:t>a</m:t>
        </m:r>
        <m:r>
          <m:t>c</m:t>
        </m:r>
        <m:r>
          <m:t>k</m:t>
        </m:r>
        <m:r>
          <m:t>a</m:t>
        </m:r>
        <m:r>
          <m:t>b</m:t>
        </m:r>
        <m:r>
          <m:t>o</m:t>
        </m:r>
        <m:r>
          <m:t>v</m:t>
        </m:r>
        <m:r>
          <m:t>e</m:t>
        </m:r>
        <m:r>
          <m:t>50</m:t>
        </m:r>
        <m:r>
          <m:rPr>
            <m:sty m:val="p"/>
          </m:rPr>
          <m:t>)</m:t>
        </m:r>
        <m:r>
          <m:t>a</m:t>
        </m:r>
        <m:r>
          <m:t>n</m:t>
        </m:r>
        <m:r>
          <m:t>d</m:t>
        </m:r>
        <m:r>
          <m:t>i</m:t>
        </m:r>
        <m:r>
          <m:t>n</m:t>
        </m:r>
        <m:r>
          <m:t>d</m:t>
        </m:r>
        <m:r>
          <m:t>u</m:t>
        </m:r>
        <m:r>
          <m:t>s</m:t>
        </m:r>
        <m:r>
          <m:t>t</m:t>
        </m:r>
        <m:r>
          <m:t>r</m:t>
        </m:r>
        <m:r>
          <m:t>i</m:t>
        </m:r>
        <m:r>
          <m:t>a</m:t>
        </m:r>
        <m:r>
          <m:t>l</m:t>
        </m:r>
        <m:r>
          <m:t>s</m:t>
        </m:r>
        <m:r>
          <m:t>e</m:t>
        </m:r>
        <m:r>
          <m:t>n</m:t>
        </m:r>
        <m:r>
          <m:t>t</m:t>
        </m:r>
        <m:r>
          <m:t>i</m:t>
        </m:r>
        <m:r>
          <m:t>m</m:t>
        </m:r>
        <m:r>
          <m:t>e</m:t>
        </m:r>
        <m:r>
          <m:t>n</m:t>
        </m:r>
        <m:r>
          <m:t>t</m:t>
        </m:r>
        <m:r>
          <m:t>b</m:t>
        </m:r>
        <m:r>
          <m:t>r</m:t>
        </m:r>
        <m:r>
          <m:t>o</m:t>
        </m:r>
        <m:r>
          <m:t>a</m:t>
        </m:r>
        <m:r>
          <m:t>d</m:t>
        </m:r>
        <m:r>
          <m:t>l</m:t>
        </m:r>
        <m:r>
          <m:t>y</m:t>
        </m:r>
        <m:r>
          <m:t>i</m:t>
        </m:r>
        <m:r>
          <m:t>m</m:t>
        </m:r>
        <m:r>
          <m:t>p</m:t>
        </m:r>
        <m:r>
          <m:t>r</m:t>
        </m:r>
        <m:r>
          <m:t>o</m:t>
        </m:r>
        <m:r>
          <m:t>v</m:t>
        </m:r>
        <m:r>
          <m:t>e</m:t>
        </m:r>
        <m:r>
          <m:t>d</m:t>
        </m:r>
        <m:r>
          <m:rPr>
            <m:sty m:val="p"/>
          </m:rPr>
          <m:t>.</m:t>
        </m:r>
        <m:r>
          <m:t>T</m:t>
        </m:r>
        <m:r>
          <m:t>h</m:t>
        </m:r>
        <m:r>
          <m:t>e</m:t>
        </m:r>
        <m:r>
          <m:t>s</m:t>
        </m:r>
        <m:r>
          <m:t>t</m:t>
        </m:r>
        <m:r>
          <m:t>o</m:t>
        </m:r>
        <m:r>
          <m:t>c</m:t>
        </m:r>
        <m:r>
          <m:t>k</m:t>
        </m:r>
        <m:r>
          <m:t>s</m:t>
        </m:r>
        <m:r>
          <m:t>o</m:t>
        </m:r>
        <m:r>
          <m:t>l</m:t>
        </m:r>
        <m:r>
          <m:t>d</m:t>
        </m:r>
        <m:r>
          <m:t>o</m:t>
        </m:r>
        <m:r>
          <m:t>f</m:t>
        </m:r>
        <m:r>
          <m:t>f</m:t>
        </m:r>
        <m:r>
          <m:t>s</m:t>
        </m:r>
        <m:r>
          <m:t>h</m:t>
        </m:r>
        <m:r>
          <m:t>a</m:t>
        </m:r>
        <m:r>
          <m:t>r</m:t>
        </m:r>
        <m:r>
          <m:t>p</m:t>
        </m:r>
        <m:r>
          <m:t>l</m:t>
        </m:r>
        <m:r>
          <m:t>y</m:t>
        </m:r>
        <m:r>
          <m:t>t</m:t>
        </m:r>
        <m:r>
          <m:t>h</m:t>
        </m:r>
        <m:r>
          <m:t>e</m:t>
        </m:r>
        <m:r>
          <m:t>d</m:t>
        </m:r>
        <m:r>
          <m:t>a</m:t>
        </m:r>
        <m:r>
          <m:t>y</m:t>
        </m:r>
        <m:r>
          <m:t>a</m:t>
        </m:r>
        <m:r>
          <m:t>f</m:t>
        </m:r>
        <m:r>
          <m:t>t</m:t>
        </m:r>
        <m:r>
          <m:t>e</m:t>
        </m:r>
        <m:r>
          <m:t>r</m:t>
        </m:r>
        <m:r>
          <m:t>Q</m:t>
        </m:r>
        <m:r>
          <m:t>1</m:t>
        </m:r>
        <m:r>
          <m:t>e</m:t>
        </m:r>
        <m:r>
          <m:t>a</m:t>
        </m:r>
        <m:r>
          <m:t>r</m:t>
        </m:r>
        <m:r>
          <m:t>n</m:t>
        </m:r>
        <m:r>
          <m:t>i</m:t>
        </m:r>
        <m:r>
          <m:t>n</m:t>
        </m:r>
        <m:r>
          <m:t>g</m:t>
        </m:r>
        <m:r>
          <m:t>s</m:t>
        </m:r>
        <m:r>
          <m:rPr>
            <m:sty m:val="p"/>
          </m:rPr>
          <m:t>(</m:t>
        </m:r>
        <m:r>
          <m:t>f</m:t>
        </m:r>
        <m:r>
          <m:t>r</m:t>
        </m:r>
        <m:r>
          <m:t>o</m:t>
        </m:r>
        <m:r>
          <m:t>m</m:t>
        </m:r>
        <m:r>
          <m:t> </m:t>
        </m:r>
      </m:oMath>
      <w:r>
        <w:t xml:space="preserve">84 to ~$77) despite an EPS beat, suggesting the market is highly sensitive to the margin trajectory and order/organic-growth commentary rather than the headline EPS number alone. Analyst price targets have generally clustered in the</w:t>
      </w:r>
      <w:r>
        <w:t xml:space="preserve"> </w:t>
      </w:r>
      <m:oMath>
        <m:r>
          <m:t>90</m:t>
        </m:r>
        <m:r>
          <m:rPr>
            <m:sty m:val="p"/>
          </m:rPr>
          <m:t>–</m:t>
        </m:r>
      </m:oMath>
      <w:r>
        <w:t xml:space="preserve">114 range, implying the market sees room for multiple expansion if the back-half acceleration proves out — but downside risk if commentary suggests further delays.</w:t>
      </w:r>
    </w:p>
    <w:bookmarkEnd w:id="20"/>
    <w:bookmarkStart w:id="21" w:name="X507e95ac1a52018d38ff024a462c26ef235e4d3"/>
    <w:p>
      <w:pPr>
        <w:pStyle w:val="Heading2"/>
      </w:pPr>
      <w:r>
        <w:t xml:space="preserve">6. Key Questions for Management</w:t>
      </w:r>
    </w:p>
    <w:p>
      <w:pPr>
        <w:pStyle w:val="Compact"/>
        <w:numPr>
          <w:ilvl w:val="0"/>
          <w:numId w:val="1003"/>
        </w:numPr>
      </w:pPr>
      <w:r>
        <w:t xml:space="preserve">Did short-cycle order momentum (core tools, blower/vacuum, book-and-ship PST) continue to build sequentially through Q2 and into July?</w:t>
      </w:r>
    </w:p>
    <w:p>
      <w:pPr>
        <w:pStyle w:val="Compact"/>
        <w:numPr>
          <w:ilvl w:val="0"/>
          <w:numId w:val="1003"/>
        </w:numPr>
      </w:pPr>
      <w:r>
        <w:t xml:space="preserve">What portion of the ~$40M Middle East order delay has now been recovered, and has the conflict caused any new disruption?</w:t>
      </w:r>
    </w:p>
    <w:p>
      <w:pPr>
        <w:pStyle w:val="Compact"/>
        <w:numPr>
          <w:ilvl w:val="0"/>
          <w:numId w:val="1003"/>
        </w:numPr>
      </w:pPr>
      <w:r>
        <w:t xml:space="preserve">Is the ITS margin bridge (pricing, restructuring benefits, productivity) still on track for a second-half inflection to ~30% margins, as previously signaled?</w:t>
      </w:r>
    </w:p>
    <w:p>
      <w:pPr>
        <w:pStyle w:val="Compact"/>
        <w:numPr>
          <w:ilvl w:val="0"/>
          <w:numId w:val="1003"/>
        </w:numPr>
      </w:pPr>
      <w:r>
        <w:t xml:space="preserve">Any change to the "net neutral" tariff/inflation assumption given new Section 301 tariffs and ongoing trade litigation?</w:t>
      </w:r>
    </w:p>
    <w:p>
      <w:pPr>
        <w:pStyle w:val="Compact"/>
        <w:numPr>
          <w:ilvl w:val="0"/>
          <w:numId w:val="1003"/>
        </w:numPr>
      </w:pPr>
      <w:r>
        <w:t xml:space="preserve">Update on the M&amp;A funnel — status of Fox s.r.l. close, the 10 LOIs, and the &gt;$1B target under consideration?</w:t>
      </w:r>
    </w:p>
    <w:p>
      <w:pPr>
        <w:pStyle w:val="Compact"/>
        <w:numPr>
          <w:ilvl w:val="0"/>
          <w:numId w:val="1003"/>
        </w:numPr>
      </w:pPr>
      <w:r>
        <w:t xml:space="preserve">Is Life Sciences double-digit growth sustainable, and how is the ILC Dover integration progressing two years post-close?</w:t>
      </w:r>
    </w:p>
    <w:p>
      <w:r>
        <w:pict>
          <v:rect style="width:0;height:1.5pt" o:hralign="center" o:hrstd="t" o:hr="t"/>
        </w:pict>
      </w:r>
    </w:p>
    <w:p>
      <w:pPr>
        <w:pStyle w:val="FirstParagraph"/>
      </w:pPr>
      <w:r>
        <w:rPr>
          <w:i/>
          <w:iCs/>
        </w:rPr>
        <w:t xml:space="preserve">This preview is based on IR's 2026Q1 earnings call transcript, 2026Q1 10-Q, June 2026 Wells Fargo Industrials &amp; Materials Conference transcript, recent market data, and sell-side commentary. All figures are as disclosed by the company or third-party sources cited above; actual Q2 results may differ materially.</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2026-07-30T00:07:54Z</dcterms:created>
  <dcterms:modified xsi:type="dcterms:W3CDTF">2026-07-30T00:07:54Z</dcterms:modified>
</cp:coreProperties>
</file>

<file path=docProps/custom.xml><?xml version="1.0" encoding="utf-8"?>
<Properties xmlns="http://schemas.openxmlformats.org/officeDocument/2006/custom-properties" xmlns:vt="http://schemas.openxmlformats.org/officeDocument/2006/docPropsVTypes"/>
</file>