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0750a21c8d47f8a8a0d7e9087e127cdbc19a982"/>
    <w:p>
      <w:pPr>
        <w:pStyle w:val="Heading1"/>
      </w:pPr>
      <w:r>
        <w:t xml:space="preserve">Ingersoll Rand (NYSE: IR) —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Thursday, July 30, 2026, after market close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Friday, July 31, at 8:00 a.m. ET (</w:t>
      </w:r>
      <w:hyperlink r:id="rId9">
        <w:r>
          <w:rPr>
            <w:rStyle w:val="Hyperlink"/>
          </w:rPr>
          <w:t xml:space="preserve">investors.irco.com</w:t>
        </w:r>
      </w:hyperlink>
      <w:r>
        <w:t xml:space="preserve">)</w:t>
      </w:r>
    </w:p>
    <w:bookmarkStart w:id="11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The central question is not whether Ingersoll Rand can deliver another respectable quarter. It is whether</w:t>
      </w:r>
      <w:r>
        <w:t xml:space="preserve"> </w:t>
      </w:r>
      <w:r>
        <w:rPr>
          <w:b/>
          <w:bCs/>
        </w:rPr>
        <w:t xml:space="preserve">organic demand and Industrial Technologies &amp; Services margins are improving quickly enough to support the second-half acceleration embedded in management’s outlook</w:t>
      </w:r>
      <w:r>
        <w:t xml:space="preserve">.</w:t>
      </w:r>
    </w:p>
    <w:p>
      <w:pPr>
        <w:pStyle w:val="BodyText"/>
      </w:pPr>
      <w:r>
        <w:t xml:space="preserve">Q1 showed the portfolio’s strengths—reported growth, a book-to-bill above 1x, strong Precision &amp; Science Technologies performance, and ample balance-sheet capacity—but organic revenue was approximately flat and IT&amp;S margins contracted sharply. Management has explicitly framed Q2 as an intermediate step: organic revenue should be roughly flat to slightly positive, consolidated margins should improve sequentially but remain 50–100 basis points below last year, and P&amp;ST should continue expanding margins.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BodyText"/>
      </w:pPr>
      <w:r>
        <w:t xml:space="preserve">A merely in-line quarter could therefore be acceptable if orders, IT&amp;S margin progression, and the second-half commentary are constructive. Conversely, a headline EPS beat driven by tax or share count would carry limited weight if organic orders and core margins disappoint.</w:t>
      </w:r>
    </w:p>
    <w:bookmarkEnd w:id="11"/>
    <w:bookmarkStart w:id="14" w:name="expectations-and-benchmarks"/>
    <w:p>
      <w:pPr>
        <w:pStyle w:val="Heading2"/>
      </w:pPr>
      <w:r>
        <w:t xml:space="preserve">Expectations and benchmarks</w:t>
      </w:r>
    </w:p>
    <w:p>
      <w:pPr>
        <w:pStyle w:val="FirstParagraph"/>
      </w:pPr>
      <w:r>
        <w:t xml:space="preserve">External estimates are not entirely consistent. A broader 12-analyst feed points to approximately</w:t>
      </w:r>
      <w:r>
        <w:t xml:space="preserve"> </w:t>
      </w:r>
      <w:r>
        <w:rPr>
          <w:b/>
          <w:bCs/>
        </w:rPr>
        <w:t xml:space="preserve">$2.02 billion of revenue and</w:t>
      </w:r>
      <w:r>
        <w:rPr>
          <w:b/>
          <w:bCs/>
        </w:rPr>
        <w:t xml:space="preserve"> </w:t>
      </w:r>
      <m:oMath>
        <m:r>
          <m:t>0.85</m:t>
        </m:r>
        <m:r>
          <m:t>o</m:t>
        </m:r>
        <m:r>
          <m:t>f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a</m:t>
        </m:r>
        <m:r>
          <m:t>s</m:t>
        </m:r>
        <m:r>
          <m:t>m</m:t>
        </m:r>
        <m:r>
          <m:t>a</m:t>
        </m:r>
        <m:r>
          <m:t>l</m:t>
        </m:r>
        <m:r>
          <m:t>l</m:t>
        </m:r>
        <m:r>
          <m:t>e</m:t>
        </m:r>
        <m:r>
          <m:t>r</m:t>
        </m:r>
        <m:r>
          <m:t>Z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−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e</m:t>
        </m:r>
        <m:r>
          <m:t>d</m:t>
        </m:r>
        <m:r>
          <m:t>s</m:t>
        </m:r>
        <m:r>
          <m:t>a</m:t>
        </m:r>
        <m:r>
          <m:t>m</m:t>
        </m:r>
        <m:r>
          <m:t>p</m:t>
        </m:r>
        <m:r>
          <m:t>l</m:t>
        </m:r>
        <m:r>
          <m:t>e</m:t>
        </m:r>
        <m:r>
          <m:t>c</m:t>
        </m:r>
        <m:r>
          <m:t>a</m:t>
        </m:r>
        <m:r>
          <m:t>r</m:t>
        </m:r>
        <m:r>
          <m:t>r</m:t>
        </m:r>
        <m:r>
          <m:t>i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0.80 of EPS</w:t>
      </w:r>
      <w:r>
        <w:t xml:space="preserve">. The most useful working range is therefore roughly</w:t>
      </w:r>
      <w:r>
        <w:t xml:space="preserve"> </w:t>
      </w:r>
      <w:r>
        <w:rPr>
          <w:b/>
          <w:bCs/>
        </w:rPr>
        <w:t xml:space="preserve">$2.0 billion of revenue and</w:t>
      </w:r>
      <w:r>
        <w:rPr>
          <w:b/>
          <w:bCs/>
        </w:rPr>
        <w:t xml:space="preserve"> </w:t>
      </w:r>
      <m:oMath>
        <m:r>
          <m:t>0.80</m:t>
        </m:r>
        <m:r>
          <m:rPr>
            <m:sty m:val="p"/>
          </m:rPr>
          <m:t>–</m:t>
        </m:r>
      </m:oMath>
      <w:r>
        <w:rPr>
          <w:b/>
          <w:bCs/>
        </w:rPr>
        <w:t xml:space="preserve">0.85 of adjusted EPS</w:t>
      </w:r>
      <w:r>
        <w:t xml:space="preserve">. (</w:t>
      </w:r>
      <w:hyperlink r:id="rId12">
        <w:r>
          <w:rPr>
            <w:rStyle w:val="Hyperlink"/>
          </w:rPr>
          <w:t xml:space="preserve">barchart.com</w:t>
        </w:r>
      </w:hyperlink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reference 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$1.888B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External consensus around $2.02B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$509M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511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538M from FY phasing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indicated roughly 26.0%–26.5%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0.80</m:t>
              </m:r>
              <m:r>
                <m:rPr>
                  <m:sty m:val="p"/>
                </m:rPr>
                <m:t>–</m:t>
              </m:r>
            </m:oMath>
            <w:r>
              <w:t xml:space="preserve">0.85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to slightly positive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$210M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Secondary to orders and margins this quarter</w:t>
            </w:r>
          </w:p>
        </w:tc>
      </w:tr>
    </w:tbl>
    <w:p>
      <w:pPr>
        <w:pStyle w:val="BodyText"/>
      </w:pPr>
      <w:r>
        <w:t xml:space="preserve">The prior-year figures come from Ingersoll Rand’s Q2 2025 release. (</w:t>
      </w:r>
      <w:hyperlink r:id="rId13">
        <w:r>
          <w:rPr>
            <w:rStyle w:val="Hyperlink"/>
          </w:rPr>
          <w:t xml:space="preserve">s23.q4cdn.com</w:t>
        </w:r>
      </w:hyperlink>
      <w:r>
        <w:t xml:space="preserve">)</w:t>
      </w:r>
    </w:p>
    <w:p>
      <w:pPr>
        <w:pStyle w:val="BodyText"/>
      </w:pPr>
      <w:r>
        <w:t xml:space="preserve">The EBITDA and EPS ranges above are</w:t>
      </w:r>
      <w:r>
        <w:t xml:space="preserve"> </w:t>
      </w:r>
      <w:r>
        <w:rPr>
          <w:b/>
          <w:bCs/>
        </w:rPr>
        <w:t xml:space="preserve">not formal quarterly guidance</w:t>
      </w:r>
      <w:r>
        <w:t xml:space="preserve">. They are calculated from management’s full-year ranges and its 46% first-half phasing assumption, less Q1 results. The same calculation implies Q2 revenue of approximately</w:t>
      </w:r>
      <w:r>
        <w:t xml:space="preserve"> </w:t>
      </w:r>
      <m:oMath>
        <m:r>
          <m:t>1.92</m:t>
        </m:r>
        <m:r>
          <m:rPr>
            <m:sty m:val="p"/>
          </m:rPr>
          <m:t>–</m:t>
        </m:r>
      </m:oMath>
      <w:r>
        <w:rPr>
          <w:b/>
          <w:bCs/>
        </w:rPr>
        <w:t xml:space="preserve">1.99 billion</w:t>
      </w:r>
      <w:r>
        <w:t xml:space="preserve">, although the company has described its phasing assumptions as approximate and acquisitions or currency can move reported revenue.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bookmarkEnd w:id="14"/>
    <w:bookmarkStart w:id="24" w:name="the-five-issues-that-matter-most"/>
    <w:p>
      <w:pPr>
        <w:pStyle w:val="Heading2"/>
      </w:pPr>
      <w:r>
        <w:t xml:space="preserve">The five issues that matter most</w:t>
      </w:r>
    </w:p>
    <w:bookmarkStart w:id="17" w:name="X5c8e1d06b7bb6543eb2824ba9f080756a86afe4"/>
    <w:p>
      <w:pPr>
        <w:pStyle w:val="Heading3"/>
      </w:pPr>
      <w:r>
        <w:t xml:space="preserve">1. Organic orders need to validate the recovery narrative</w:t>
      </w:r>
    </w:p>
    <w:p>
      <w:pPr>
        <w:pStyle w:val="FirstParagraph"/>
      </w:pPr>
      <w:r>
        <w:t xml:space="preserve">Q1 reported orders rose 5%, but organic orders declined 1.9%. IT&amp;S organic orders were down 2.6%, although management attributed about $40 million of delayed orders to Middle East projects and said underlying IT&amp;S orders were approximately flat excluding that delay. P&amp;ST organic orders grew modestly, with double-digit life-sciences orders offset by project timing elsewhere.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BodyText"/>
      </w:pPr>
      <w:r>
        <w:t xml:space="preserve">The Q2 scorecard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Total organic orders:</w:t>
      </w:r>
      <w:r>
        <w:t xml:space="preserve"> </w:t>
      </w:r>
      <w:r>
        <w:t xml:space="preserve">Positive growth would be the cleanest evidence that the recovery is broadening.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Book-to-bill:</w:t>
      </w:r>
      <w:r>
        <w:t xml:space="preserve"> </w:t>
      </w:r>
      <w:r>
        <w:t xml:space="preserve">Remaining above 1x would support the second-half revenue plan and 2027 backlog.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Short-cycle activity:</w:t>
      </w:r>
      <w:r>
        <w:t xml:space="preserve"> </w:t>
      </w:r>
      <w:r>
        <w:t xml:space="preserve">Management reported improving trends in U.S. compressors, blower and vacuum, core tools, and precision technologies.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Middle East recovery:</w:t>
      </w:r>
      <w:r>
        <w:t xml:space="preserve"> </w:t>
      </w:r>
      <w:r>
        <w:t xml:space="preserve">Investors should look for how much of the delayed $40 million has now been booked and whether any new delays have appeared.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Long-cycle projects:</w:t>
      </w:r>
      <w:r>
        <w:t xml:space="preserve"> </w:t>
      </w:r>
      <w:r>
        <w:t xml:space="preserve">Stable funnels are not enough indefinitely; investors need to see projects convert into purchase orders.</w:t>
      </w:r>
    </w:p>
    <w:p>
      <w:pPr>
        <w:pStyle w:val="FirstParagraph"/>
      </w:pPr>
      <w:r>
        <w:t xml:space="preserve">At its June investor conference, management continued to describe short-cycle trends as improving, China as stabilized, Europe as relatively steady, and long-cycle project delays as timing-related rather than cancellations. Approximately 40% of IT&amp;S is aftermarket, while most remaining original-equipment revenue is short- to medium-cycle, with order-to-shipment times generally around 30–90 days. (</w:t>
      </w:r>
      <w:hyperlink r:id="rId15">
        <w:r>
          <w:rPr>
            <w:rStyle w:val="Hyperlink"/>
          </w:rPr>
          <w:t xml:space="preserve">stockanalysis.com</w:t>
        </w:r>
      </w:hyperlink>
      <w:r>
        <w:t xml:space="preserve">)</w:t>
      </w:r>
    </w:p>
    <w:p>
      <w:pPr>
        <w:pStyle w:val="BodyText"/>
      </w:pPr>
      <w:r>
        <w:t xml:space="preserve">There is a favorable external read-through: Atlas Copco reported a strong Q2, including sharply higher Compressor Technique orders, though part of that strength came from lumpy gas-and-process projects and should not be mapped directly onto IR. (</w:t>
      </w:r>
      <w:hyperlink r:id="rId16">
        <w:r>
          <w:rPr>
            <w:rStyle w:val="Hyperlink"/>
          </w:rPr>
          <w:t xml:space="preserve">atlascopcogroup.com</w:t>
        </w:r>
      </w:hyperlink>
      <w:r>
        <w:t xml:space="preserve">)</w:t>
      </w:r>
    </w:p>
    <w:bookmarkEnd w:id="17"/>
    <w:bookmarkStart w:id="19" w:name="X3cb5ce9d9f593ec9e6ab45b8d9aafdeb30375ad"/>
    <w:p>
      <w:pPr>
        <w:pStyle w:val="Heading3"/>
      </w:pPr>
      <w:r>
        <w:t xml:space="preserve">2. IT&amp;S margin progression is the biggest earnings variable</w:t>
      </w:r>
    </w:p>
    <w:p>
      <w:pPr>
        <w:pStyle w:val="FirstParagraph"/>
      </w:pPr>
      <w:r>
        <w:t xml:space="preserve">IT&amp;S represents roughly 80% of company revenue and produced a</w:t>
      </w:r>
      <w:r>
        <w:t xml:space="preserve"> </w:t>
      </w:r>
      <w:r>
        <w:rPr>
          <w:b/>
          <w:bCs/>
        </w:rPr>
        <w:t xml:space="preserve">26.7% adjusted EBITDA margin in Q1</w:t>
      </w:r>
      <w:r>
        <w:t xml:space="preserve">, down 210 basis points year over year. Management attributed the decline to organic volume pressure, tariff pricing that offsets tariff costs dollar-for-dollar but dilutes percentage margins, and continued commercial investments.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BodyText"/>
      </w:pPr>
      <w:r>
        <w:t xml:space="preserve">For Q2, management effectively endorsed a consolidated margin decline of 50–100 basis points from last year’s 27.0%, primarily due to IT&amp;S. That points to a total-company margin around</w:t>
      </w:r>
      <w:r>
        <w:t xml:space="preserve"> </w:t>
      </w:r>
      <w:r>
        <w:rPr>
          <w:b/>
          <w:bCs/>
        </w:rPr>
        <w:t xml:space="preserve">26.0%–26.5%</w:t>
      </w:r>
      <w:r>
        <w:t xml:space="preserve">, versus 25.4% in Q1. Management also agreed that IT&amp;S margin modeling in the vicinity of</w:t>
      </w:r>
      <w:r>
        <w:t xml:space="preserve"> </w:t>
      </w:r>
      <w:r>
        <w:rPr>
          <w:b/>
          <w:bCs/>
        </w:rPr>
        <w:t xml:space="preserve">27.5%–28%</w:t>
      </w:r>
      <w:r>
        <w:t xml:space="preserve"> </w:t>
      </w:r>
      <w:r>
        <w:t xml:space="preserve">was directionally reasonable. (</w:t>
      </w:r>
      <w:hyperlink r:id="rId18">
        <w:r>
          <w:rPr>
            <w:rStyle w:val="Hyperlink"/>
          </w:rPr>
          <w:t xml:space="preserve">stockanalysis.com</w:t>
        </w:r>
      </w:hyperlink>
      <w:r>
        <w:t xml:space="preserve">)</w:t>
      </w:r>
    </w:p>
    <w:p>
      <w:pPr>
        <w:pStyle w:val="BodyText"/>
      </w:pPr>
      <w:r>
        <w:t xml:space="preserve">A constructive result would include:</w:t>
      </w:r>
    </w:p>
    <w:p>
      <w:pPr>
        <w:pStyle w:val="Compact"/>
        <w:numPr>
          <w:ilvl w:val="0"/>
          <w:numId w:val="1002"/>
        </w:numPr>
      </w:pPr>
      <w:r>
        <w:t xml:space="preserve">Clear sequential IT&amp;S margin improvement.</w:t>
      </w:r>
    </w:p>
    <w:p>
      <w:pPr>
        <w:pStyle w:val="Compact"/>
        <w:numPr>
          <w:ilvl w:val="0"/>
          <w:numId w:val="1002"/>
        </w:numPr>
      </w:pPr>
      <w:r>
        <w:t xml:space="preserve">Better underlying price/cost as tariff comparisons normalize.</w:t>
      </w:r>
    </w:p>
    <w:p>
      <w:pPr>
        <w:pStyle w:val="Compact"/>
        <w:numPr>
          <w:ilvl w:val="0"/>
          <w:numId w:val="1002"/>
        </w:numPr>
      </w:pPr>
      <w:r>
        <w:t xml:space="preserve">Evidence that restructuring and material-productivity savings are appearing.</w:t>
      </w:r>
    </w:p>
    <w:p>
      <w:pPr>
        <w:pStyle w:val="Compact"/>
        <w:numPr>
          <w:ilvl w:val="0"/>
          <w:numId w:val="1002"/>
        </w:numPr>
      </w:pPr>
      <w:r>
        <w:t xml:space="preserve">No deterioration in commercial investment returns.</w:t>
      </w:r>
    </w:p>
    <w:p>
      <w:pPr>
        <w:pStyle w:val="Compact"/>
        <w:numPr>
          <w:ilvl w:val="0"/>
          <w:numId w:val="1002"/>
        </w:numPr>
      </w:pPr>
      <w:r>
        <w:t xml:space="preserve">Confidence that IT&amp;S margins can expand year over year in the second half.</w:t>
      </w:r>
    </w:p>
    <w:p>
      <w:pPr>
        <w:pStyle w:val="FirstParagraph"/>
      </w:pPr>
      <w:r>
        <w:t xml:space="preserve">Management’s bridge to stronger second-half margins rests on four elements: improving organic volume, positive normalized price/cost, direct-material productivity, and restructuring benefits. It reiterated that bridge at the June conference. (</w:t>
      </w:r>
      <w:hyperlink r:id="rId15">
        <w:r>
          <w:rPr>
            <w:rStyle w:val="Hyperlink"/>
          </w:rPr>
          <w:t xml:space="preserve">stockanalysis.com</w:t>
        </w:r>
      </w:hyperlink>
      <w:r>
        <w:t xml:space="preserve">)</w:t>
      </w:r>
    </w:p>
    <w:p>
      <w:pPr>
        <w:pStyle w:val="BodyText"/>
      </w:pPr>
      <w:r>
        <w:t xml:space="preserve">This is also the principal execution risk. If Q2 IT&amp;S margins fall below the expected range, the amount of improvement required in Q3 and Q4 becomes increasingly demanding.</w:t>
      </w:r>
    </w:p>
    <w:bookmarkEnd w:id="19"/>
    <w:bookmarkStart w:id="21" w:name="X26eef9e0d15ffcc87fc707cf0861f23055a9cae"/>
    <w:p>
      <w:pPr>
        <w:pStyle w:val="Heading3"/>
      </w:pPr>
      <w:r>
        <w:t xml:space="preserve">3. P&amp;ST should remain the portfolio’s positive differentiator</w:t>
      </w:r>
    </w:p>
    <w:p>
      <w:pPr>
        <w:pStyle w:val="FirstParagraph"/>
      </w:pPr>
      <w:r>
        <w:t xml:space="preserve">P&amp;ST delivered an excellent Q1:</w:t>
      </w:r>
    </w:p>
    <w:p>
      <w:pPr>
        <w:pStyle w:val="Compact"/>
        <w:numPr>
          <w:ilvl w:val="0"/>
          <w:numId w:val="1003"/>
        </w:numPr>
      </w:pPr>
      <w:r>
        <w:t xml:space="preserve">Organic revenue growth of 4.4%.</w:t>
      </w:r>
    </w:p>
    <w:p>
      <w:pPr>
        <w:pStyle w:val="Compact"/>
        <w:numPr>
          <w:ilvl w:val="0"/>
          <w:numId w:val="1003"/>
        </w:numPr>
      </w:pPr>
      <w:r>
        <w:t xml:space="preserve">Segment adjusted EBITDA growth of 15%.</w:t>
      </w:r>
    </w:p>
    <w:p>
      <w:pPr>
        <w:pStyle w:val="Compact"/>
        <w:numPr>
          <w:ilvl w:val="0"/>
          <w:numId w:val="1003"/>
        </w:numPr>
      </w:pPr>
      <w:r>
        <w:t xml:space="preserve">Margin of 30.3%, up 120 basis points.</w:t>
      </w:r>
    </w:p>
    <w:p>
      <w:pPr>
        <w:pStyle w:val="Compact"/>
        <w:numPr>
          <w:ilvl w:val="0"/>
          <w:numId w:val="1003"/>
        </w:numPr>
      </w:pPr>
      <w:r>
        <w:t xml:space="preserve">Double-digit organic life-sciences order growth.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FirstParagraph"/>
      </w:pPr>
      <w:r>
        <w:t xml:space="preserve">Management expects another quarter of year-over-year P&amp;ST margin expansion. Biopharma appears to be the healthiest part of the approximately</w:t>
      </w:r>
      <w:r>
        <w:t xml:space="preserve"> </w:t>
      </w:r>
      <m:oMath>
        <m:r>
          <m:t>600</m:t>
        </m:r>
        <m:r>
          <m:rPr>
            <m:sty m:val="p"/>
          </m:rPr>
          <m:t>–</m:t>
        </m:r>
      </m:oMath>
      <w:r>
        <w:t xml:space="preserve">700 million life-sciences platform, while IRX productivity and ILC Dover integration provide additional margin opportunity. (</w:t>
      </w:r>
      <w:hyperlink r:id="rId15">
        <w:r>
          <w:rPr>
            <w:rStyle w:val="Hyperlink"/>
          </w:rPr>
          <w:t xml:space="preserve">stockanalysis.com</w:t>
        </w:r>
      </w:hyperlink>
      <w:r>
        <w:t xml:space="preserve">)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04"/>
        </w:numPr>
      </w:pPr>
      <w:r>
        <w:t xml:space="preserve">Whether life-sciences orders remain above company average.</w:t>
      </w:r>
    </w:p>
    <w:p>
      <w:pPr>
        <w:pStyle w:val="Compact"/>
        <w:numPr>
          <w:ilvl w:val="0"/>
          <w:numId w:val="1004"/>
        </w:numPr>
      </w:pPr>
      <w:r>
        <w:t xml:space="preserve">Whether P&amp;ST sustains a margin above 30%.</w:t>
      </w:r>
    </w:p>
    <w:p>
      <w:pPr>
        <w:pStyle w:val="Compact"/>
        <w:numPr>
          <w:ilvl w:val="0"/>
          <w:numId w:val="1004"/>
        </w:numPr>
      </w:pPr>
      <w:r>
        <w:t xml:space="preserve">Growth in the legacy medical business versus ILC Dover biopharma.</w:t>
      </w:r>
    </w:p>
    <w:p>
      <w:pPr>
        <w:pStyle w:val="Compact"/>
        <w:numPr>
          <w:ilvl w:val="0"/>
          <w:numId w:val="1004"/>
        </w:numPr>
      </w:pPr>
      <w:r>
        <w:t xml:space="preserve">Any aerospace-and-defense volatility.</w:t>
      </w:r>
    </w:p>
    <w:p>
      <w:pPr>
        <w:pStyle w:val="Compact"/>
        <w:numPr>
          <w:ilvl w:val="0"/>
          <w:numId w:val="1004"/>
        </w:numPr>
      </w:pPr>
      <w:r>
        <w:t xml:space="preserve">Initial commentary on Fox, which closed in May and joined P&amp;ST at a high-single-digit 2025 EBITDA purchase multiple. (</w:t>
      </w:r>
      <w:hyperlink r:id="rId2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FirstParagraph"/>
      </w:pPr>
      <w:r>
        <w:t xml:space="preserve">A P&amp;ST margin below 30% or a sharp slowdown in life sciences would be a meaningful negative because this segment is expected to offset some of the near-term IT&amp;S pressure.</w:t>
      </w:r>
    </w:p>
    <w:bookmarkEnd w:id="21"/>
    <w:bookmarkStart w:id="22" w:name="X715495ba9b85c9449f3cbc6ea462d0238029d6d"/>
    <w:p>
      <w:pPr>
        <w:pStyle w:val="Heading3"/>
      </w:pPr>
      <w:r>
        <w:t xml:space="preserve">4. Full-year guidance must remain credible—and a modest raise is possible</w:t>
      </w:r>
    </w:p>
    <w:p>
      <w:pPr>
        <w:pStyle w:val="FirstParagraph"/>
      </w:pPr>
      <w:r>
        <w:t xml:space="preserve">Current 2026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2.5%–4.5%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to 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M&amp;A contribution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Currency contribution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0.5%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2.13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2.19B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3.45</m:t>
              </m:r>
              <m:r>
                <m:rPr>
                  <m:sty m:val="p"/>
                </m:rPr>
                <m:t>–</m:t>
              </m:r>
            </m:oMath>
            <w:r>
              <w:t xml:space="preserve">3.57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 conversion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95%</w:t>
            </w:r>
          </w:p>
        </w:tc>
      </w:tr>
    </w:tbl>
    <w:p>
      <w:pPr>
        <w:pStyle w:val="BodyText"/>
      </w:pPr>
      <w:r>
        <w:t xml:space="preserve">Management maintained this outlook after Q1 and expected no significant full-year impact from the Middle East conflict or Section 232 tariff changes. (</w:t>
      </w:r>
      <w:hyperlink r:id="rId10">
        <w:r>
          <w:rPr>
            <w:rStyle w:val="Hyperlink"/>
          </w:rPr>
          <w:t xml:space="preserve">investors.irco.com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Base case:</w:t>
      </w:r>
      <w:r>
        <w:t xml:space="preserve"> </w:t>
      </w:r>
      <w:r>
        <w:t xml:space="preserve">Guidance is reiterated, potentially with updated FX and acquisition assumptions.</w:t>
      </w:r>
    </w:p>
    <w:p>
      <w:pPr>
        <w:pStyle w:val="BodyText"/>
      </w:pPr>
      <w:r>
        <w:rPr>
          <w:b/>
          <w:bCs/>
        </w:rPr>
        <w:t xml:space="preserve">Bull case:</w:t>
      </w:r>
      <w:r>
        <w:t xml:space="preserve"> </w:t>
      </w:r>
      <w:r>
        <w:t xml:space="preserve">Strong orders, P&amp;ST performance, and better price/cost allow management to raise the lower end of adjusted EBITDA or EPS guidance.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Guidance is maintained, but management becomes less confident about low-single-digit second-half organic growth or the timing of IT&amp;S margin expansion. A nominal reiteration accompanied by weaker assumptions would likely be interpreted negatively.</w:t>
      </w:r>
    </w:p>
    <w:p>
      <w:pPr>
        <w:pStyle w:val="BodyText"/>
      </w:pPr>
      <w:r>
        <w:t xml:space="preserve">The most important guidance detail is not necessarily the headline range. It is whether management still expects:</w:t>
      </w:r>
    </w:p>
    <w:p>
      <w:pPr>
        <w:pStyle w:val="Compact"/>
        <w:numPr>
          <w:ilvl w:val="0"/>
          <w:numId w:val="1005"/>
        </w:numPr>
      </w:pPr>
      <w:r>
        <w:t xml:space="preserve">Low-single-digit organic growth in Q2–Q4.</w:t>
      </w:r>
    </w:p>
    <w:p>
      <w:pPr>
        <w:pStyle w:val="Compact"/>
        <w:numPr>
          <w:ilvl w:val="0"/>
          <w:numId w:val="1005"/>
        </w:numPr>
      </w:pPr>
      <w:r>
        <w:t xml:space="preserve">IT&amp;S full-year margins to be approximately flat.</w:t>
      </w:r>
    </w:p>
    <w:p>
      <w:pPr>
        <w:pStyle w:val="Compact"/>
        <w:numPr>
          <w:ilvl w:val="0"/>
          <w:numId w:val="1005"/>
        </w:numPr>
      </w:pPr>
      <w:r>
        <w:t xml:space="preserve">Year-over-year IT&amp;S margin expansion in the second half.</w:t>
      </w:r>
    </w:p>
    <w:p>
      <w:pPr>
        <w:pStyle w:val="Compact"/>
        <w:numPr>
          <w:ilvl w:val="0"/>
          <w:numId w:val="1005"/>
        </w:numPr>
      </w:pPr>
      <w:r>
        <w:t xml:space="preserve">An exit margin consistent with the company’s long-term targets. (</w:t>
      </w:r>
      <w:hyperlink r:id="rId18">
        <w:r>
          <w:rPr>
            <w:rStyle w:val="Hyperlink"/>
          </w:rPr>
          <w:t xml:space="preserve">stockanalysis.com</w:t>
        </w:r>
      </w:hyperlink>
      <w:r>
        <w:t xml:space="preserve">)</w:t>
      </w:r>
    </w:p>
    <w:bookmarkEnd w:id="22"/>
    <w:bookmarkStart w:id="23" w:name="Xce8c4f362c947b8626adef376d6f903fbdbe478"/>
    <w:p>
      <w:pPr>
        <w:pStyle w:val="Heading3"/>
      </w:pPr>
      <w:r>
        <w:t xml:space="preserve">5. M&amp;A activity and recurring revenue remain important secondary catalysts</w:t>
      </w:r>
    </w:p>
    <w:p>
      <w:pPr>
        <w:pStyle w:val="FirstParagraph"/>
      </w:pPr>
      <w:r>
        <w:t xml:space="preserve">M&amp;A remains IR’s preferred use of capital. At the June conference, management said it had closed four small transactions year to date, had ten additional bolt-ons under letters of intent, and continued to target</w:t>
      </w:r>
      <w:r>
        <w:t xml:space="preserve"> </w:t>
      </w:r>
      <w:r>
        <w:rPr>
          <w:b/>
          <w:bCs/>
        </w:rPr>
        <w:t xml:space="preserve">400–500 basis points of acquired annualized revenue</w:t>
      </w:r>
      <w:r>
        <w:t xml:space="preserve"> </w:t>
      </w:r>
      <w:r>
        <w:t xml:space="preserve">during 2026. (</w:t>
      </w:r>
      <w:hyperlink r:id="rId15">
        <w:r>
          <w:rPr>
            <w:rStyle w:val="Hyperlink"/>
          </w:rPr>
          <w:t xml:space="preserve">stockanalysis.com</w:t>
        </w:r>
      </w:hyperlink>
      <w:r>
        <w:t xml:space="preserve">)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06"/>
        </w:numPr>
      </w:pPr>
      <w:r>
        <w:t xml:space="preserve">Have additional LOIs converted into signed or completed transactions?</w:t>
      </w:r>
    </w:p>
    <w:p>
      <w:pPr>
        <w:pStyle w:val="Compact"/>
        <w:numPr>
          <w:ilvl w:val="0"/>
          <w:numId w:val="1006"/>
        </w:numPr>
      </w:pPr>
      <w:r>
        <w:t xml:space="preserve">Is the 400–500 basis-point acquisition target still achievable?</w:t>
      </w:r>
    </w:p>
    <w:p>
      <w:pPr>
        <w:pStyle w:val="Compact"/>
        <w:numPr>
          <w:ilvl w:val="0"/>
          <w:numId w:val="1006"/>
        </w:numPr>
      </w:pPr>
      <w:r>
        <w:t xml:space="preserve">Are purchase multiples and expected returns holding?</w:t>
      </w:r>
    </w:p>
    <w:p>
      <w:pPr>
        <w:pStyle w:val="Compact"/>
        <w:numPr>
          <w:ilvl w:val="0"/>
          <w:numId w:val="1006"/>
        </w:numPr>
      </w:pPr>
      <w:r>
        <w:t xml:space="preserve">How quickly can Fox and Scinomix contribute to organic growth and margins?</w:t>
      </w:r>
    </w:p>
    <w:p>
      <w:pPr>
        <w:pStyle w:val="Compact"/>
        <w:numPr>
          <w:ilvl w:val="0"/>
          <w:numId w:val="1006"/>
        </w:numPr>
      </w:pPr>
      <w:r>
        <w:t xml:space="preserve">Is management contemplating a larger transaction?</w:t>
      </w:r>
    </w:p>
    <w:p>
      <w:pPr>
        <w:pStyle w:val="FirstParagraph"/>
      </w:pPr>
      <w:r>
        <w:t xml:space="preserve">Recurring revenue is another underappreciated growth driver. Management said the initiative exceeded $450 million in 2025, up from roughly $200 million at the 2023 investor day, and continues to expand beyond North American compressors into Europe, Asia, blower, vacuum, and pump technologies. (</w:t>
      </w:r>
      <w:hyperlink r:id="rId15">
        <w:r>
          <w:rPr>
            <w:rStyle w:val="Hyperlink"/>
          </w:rPr>
          <w:t xml:space="preserve">stockanalysis.com</w:t>
        </w:r>
      </w:hyperlink>
      <w:r>
        <w:t xml:space="preserve">)</w:t>
      </w:r>
    </w:p>
    <w:bookmarkEnd w:id="23"/>
    <w:bookmarkEnd w:id="24"/>
    <w:bookmarkStart w:id="28" w:name="stock-setup-and-likely-reaction-function"/>
    <w:p>
      <w:pPr>
        <w:pStyle w:val="Heading2"/>
      </w:pPr>
      <w:r>
        <w:t xml:space="preserve">Stock setup and likely reaction function</w:t>
      </w:r>
    </w:p>
    <w:p>
      <w:pPr>
        <w:pStyle w:val="FirstParagraph"/>
      </w:pPr>
      <w:r>
        <w:t xml:space="preserve">At roughly</w:t>
      </w:r>
      <w:r>
        <w:t xml:space="preserve"> </w:t>
      </w:r>
      <m:oMath>
        <m:r>
          <m:t>84</m:t>
        </m:r>
        <m:r>
          <m:rPr>
            <m:sty m:val="p"/>
          </m:rPr>
          <m:t>–</m:t>
        </m:r>
      </m:oMath>
      <w:r>
        <w:t xml:space="preserve">85, IR trades near</w:t>
      </w:r>
      <w:r>
        <w:t xml:space="preserve"> </w:t>
      </w:r>
      <w:r>
        <w:rPr>
          <w:b/>
          <w:bCs/>
        </w:rPr>
        <w:t xml:space="preserve">24 times the midpoint of 2026 adjusted EPS guidance</w:t>
      </w:r>
      <w:r>
        <w:t xml:space="preserve">. The shares have recovered about 9% from the first trading day after Q1 earnings, when revenue missed external expectations and the stock declined. (</w:t>
      </w:r>
      <w:hyperlink r:id="rId25">
        <w:r>
          <w:rPr>
            <w:rStyle w:val="Hyperlink"/>
          </w:rPr>
          <w:t xml:space="preserve">fxempire.com</w:t>
        </w:r>
      </w:hyperlink>
      <w:r>
        <w:t xml:space="preserve">)</w:t>
      </w:r>
    </w:p>
    <w:p>
      <w:pPr>
        <w:pStyle w:val="BodyText"/>
      </w:pPr>
      <w:r>
        <w:t xml:space="preserve">That valuation leaves room for upside, but it also means investors are likely to demand evidence rather than another promise of second-half improvement.</w:t>
      </w:r>
    </w:p>
    <w:bookmarkStart w:id="26" w:name="likely-positive-outcome"/>
    <w:p>
      <w:pPr>
        <w:pStyle w:val="Heading3"/>
      </w:pPr>
      <w:r>
        <w:t xml:space="preserve">Likely positive outcome</w:t>
      </w:r>
    </w:p>
    <w:p>
      <w:pPr>
        <w:pStyle w:val="Compact"/>
        <w:numPr>
          <w:ilvl w:val="0"/>
          <w:numId w:val="1007"/>
        </w:numPr>
      </w:pPr>
      <w:r>
        <w:t xml:space="preserve">Revenue around or above $2.0 billion.</w:t>
      </w:r>
    </w:p>
    <w:p>
      <w:pPr>
        <w:pStyle w:val="Compact"/>
        <w:numPr>
          <w:ilvl w:val="0"/>
          <w:numId w:val="1007"/>
        </w:numPr>
      </w:pPr>
      <w:r>
        <w:t xml:space="preserve">Adjusted EBITDA toward the upper $520 millions or better.</w:t>
      </w:r>
    </w:p>
    <w:p>
      <w:pPr>
        <w:pStyle w:val="Compact"/>
        <w:numPr>
          <w:ilvl w:val="0"/>
          <w:numId w:val="1007"/>
        </w:numPr>
      </w:pPr>
      <w:r>
        <w:t xml:space="preserve">Organic revenue at least modestly positive.</w:t>
      </w:r>
    </w:p>
    <w:p>
      <w:pPr>
        <w:pStyle w:val="Compact"/>
        <w:numPr>
          <w:ilvl w:val="0"/>
          <w:numId w:val="1007"/>
        </w:numPr>
      </w:pPr>
      <w:r>
        <w:t xml:space="preserve">Positive organic orders and book-to-bill above 1x.</w:t>
      </w:r>
    </w:p>
    <w:p>
      <w:pPr>
        <w:pStyle w:val="Compact"/>
        <w:numPr>
          <w:ilvl w:val="0"/>
          <w:numId w:val="1007"/>
        </w:numPr>
      </w:pPr>
      <w:r>
        <w:t xml:space="preserve">IT&amp;S margin near 28%.</w:t>
      </w:r>
    </w:p>
    <w:p>
      <w:pPr>
        <w:pStyle w:val="Compact"/>
        <w:numPr>
          <w:ilvl w:val="0"/>
          <w:numId w:val="1007"/>
        </w:numPr>
      </w:pPr>
      <w:r>
        <w:t xml:space="preserve">P&amp;ST margin above 30% with continued life-sciences strength.</w:t>
      </w:r>
    </w:p>
    <w:p>
      <w:pPr>
        <w:pStyle w:val="Compact"/>
        <w:numPr>
          <w:ilvl w:val="0"/>
          <w:numId w:val="1007"/>
        </w:numPr>
      </w:pPr>
      <w:r>
        <w:t xml:space="preserve">Guidance maintained with increased confidence—or modestly raised.</w:t>
      </w:r>
    </w:p>
    <w:bookmarkEnd w:id="26"/>
    <w:bookmarkStart w:id="27" w:name="likely-negative-outcome"/>
    <w:p>
      <w:pPr>
        <w:pStyle w:val="Heading3"/>
      </w:pPr>
      <w:r>
        <w:t xml:space="preserve">Likely negative outcome</w:t>
      </w:r>
    </w:p>
    <w:p>
      <w:pPr>
        <w:pStyle w:val="Compact"/>
        <w:numPr>
          <w:ilvl w:val="0"/>
          <w:numId w:val="1008"/>
        </w:numPr>
      </w:pPr>
      <w:r>
        <w:t xml:space="preserve">Organic orders remain negative after adjusting for project timing.</w:t>
      </w:r>
    </w:p>
    <w:p>
      <w:pPr>
        <w:pStyle w:val="Compact"/>
        <w:numPr>
          <w:ilvl w:val="0"/>
          <w:numId w:val="1008"/>
        </w:numPr>
      </w:pPr>
      <w:r>
        <w:t xml:space="preserve">IT&amp;S margin below approximately 27.5%.</w:t>
      </w:r>
    </w:p>
    <w:p>
      <w:pPr>
        <w:pStyle w:val="Compact"/>
        <w:numPr>
          <w:ilvl w:val="0"/>
          <w:numId w:val="1008"/>
        </w:numPr>
      </w:pPr>
      <w:r>
        <w:t xml:space="preserve">P&amp;ST growth or margins unexpectedly weaken.</w:t>
      </w:r>
    </w:p>
    <w:p>
      <w:pPr>
        <w:pStyle w:val="Compact"/>
        <w:numPr>
          <w:ilvl w:val="0"/>
          <w:numId w:val="1008"/>
        </w:numPr>
      </w:pPr>
      <w:r>
        <w:t xml:space="preserve">Further Middle East order delays or project cancellations.</w:t>
      </w:r>
    </w:p>
    <w:p>
      <w:pPr>
        <w:pStyle w:val="Compact"/>
        <w:numPr>
          <w:ilvl w:val="0"/>
          <w:numId w:val="1008"/>
        </w:numPr>
      </w:pPr>
      <w:r>
        <w:t xml:space="preserve">Management walks back second-half organic growth or margin assumptions.</w:t>
      </w:r>
    </w:p>
    <w:p>
      <w:pPr>
        <w:pStyle w:val="Compact"/>
        <w:numPr>
          <w:ilvl w:val="0"/>
          <w:numId w:val="1008"/>
        </w:numPr>
      </w:pPr>
      <w:r>
        <w:t xml:space="preserve">Guidance is reiterated only because of FX, acquisitions, tax, or buybacks.</w: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headline hurdle is manageable</w:t>
      </w:r>
      <w:r>
        <w:t xml:space="preserve">, but the</w:t>
      </w:r>
      <w:r>
        <w:t xml:space="preserve"> </w:t>
      </w:r>
      <w:r>
        <w:rPr>
          <w:b/>
          <w:bCs/>
        </w:rPr>
        <w:t xml:space="preserve">quality hurdle is higher</w:t>
      </w:r>
      <w:r>
        <w:t xml:space="preserve">.</w:t>
      </w:r>
    </w:p>
    <w:p>
      <w:pPr>
        <w:pStyle w:val="BodyText"/>
      </w:pPr>
      <w:r>
        <w:t xml:space="preserve">The best outcome would not simply be an EPS beat. It would be a quarter showing that short-cycle improvement is translating into organic orders, IT&amp;S margins have begun their promised recovery, P&amp;ST remains above 30%, and the second-half growth-and-margin ramp no longer depends primarily on management assurances.</w:t>
      </w:r>
    </w:p>
    <w:p>
      <w:pPr>
        <w:pStyle w:val="BodyText"/>
      </w:pPr>
      <w:r>
        <w:t xml:space="preserve">Going into the print, the setup is</w:t>
      </w:r>
      <w:r>
        <w:t xml:space="preserve"> </w:t>
      </w:r>
      <w:r>
        <w:rPr>
          <w:b/>
          <w:bCs/>
        </w:rPr>
        <w:t xml:space="preserve">balanced to modestly constructive</w:t>
      </w:r>
      <w:r>
        <w:t xml:space="preserve">: P&amp;ST, recurring revenue, M&amp;A, and improving peer demand provide support, while IT&amp;S margin execution and the back-end-weighted outlook remain the principal risks.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investors.irco.com/news/news-details/2026/Ingersoll-Rand-Acquires-Fox-s-r-l--Expanding-Metering-and-Dosing-Capabilities/default.aspx?utm_source=openai" TargetMode="External" /><Relationship Type="http://schemas.openxmlformats.org/officeDocument/2006/relationships/hyperlink" Id="rId10" Target="https://investors.irco.com/news/news-details/2026/Ingersoll-Rand-Reports-First-Quarter-2026-Results/default.aspx?utm_source=openai" TargetMode="External" /><Relationship Type="http://schemas.openxmlformats.org/officeDocument/2006/relationships/hyperlink" Id="rId9" Target="https://investors.irco.com/news/news-details/2026/Ingersoll-Rand-Schedules-Second-Quarter-2026-Earnings-Release-and-Conference-Call/default.aspx?utm_source=openai" TargetMode="External" /><Relationship Type="http://schemas.openxmlformats.org/officeDocument/2006/relationships/hyperlink" Id="rId13" Target="https://s23.q4cdn.com/965037804/files/doc_financials/2025/q2/Q2-2025-Earnings-Release-vF.pdf" TargetMode="External" /><Relationship Type="http://schemas.openxmlformats.org/officeDocument/2006/relationships/hyperlink" Id="rId18" Target="https://stockanalysis.com/stocks/ir/transcripts/556729-q1-2026/" TargetMode="External" /><Relationship Type="http://schemas.openxmlformats.org/officeDocument/2006/relationships/hyperlink" Id="rId15" Target="https://stockanalysis.com/stocks/ir/transcripts/682607-16th-annual-wells-fargo-industrials-materials-conference/" TargetMode="External" /><Relationship Type="http://schemas.openxmlformats.org/officeDocument/2006/relationships/hyperlink" Id="rId16" Target="https://www.atlascopcogroup.com/en/media/press-releases/2026/2026-q2?utm_source=openai" TargetMode="External" /><Relationship Type="http://schemas.openxmlformats.org/officeDocument/2006/relationships/hyperlink" Id="rId12" Target="https://www.barchart.com/stocks/quotes/IR/earnings-estimates" TargetMode="External" /><Relationship Type="http://schemas.openxmlformats.org/officeDocument/2006/relationships/hyperlink" Id="rId25" Target="https://www.fxempire.com/stocks/ir/earnin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investors.irco.com/news/news-details/2026/Ingersoll-Rand-Acquires-Fox-s-r-l--Expanding-Metering-and-Dosing-Capabilities/default.aspx?utm_source=openai" TargetMode="External" /><Relationship Type="http://schemas.openxmlformats.org/officeDocument/2006/relationships/hyperlink" Id="rId10" Target="https://investors.irco.com/news/news-details/2026/Ingersoll-Rand-Reports-First-Quarter-2026-Results/default.aspx?utm_source=openai" TargetMode="External" /><Relationship Type="http://schemas.openxmlformats.org/officeDocument/2006/relationships/hyperlink" Id="rId9" Target="https://investors.irco.com/news/news-details/2026/Ingersoll-Rand-Schedules-Second-Quarter-2026-Earnings-Release-and-Conference-Call/default.aspx?utm_source=openai" TargetMode="External" /><Relationship Type="http://schemas.openxmlformats.org/officeDocument/2006/relationships/hyperlink" Id="rId13" Target="https://s23.q4cdn.com/965037804/files/doc_financials/2025/q2/Q2-2025-Earnings-Release-vF.pdf" TargetMode="External" /><Relationship Type="http://schemas.openxmlformats.org/officeDocument/2006/relationships/hyperlink" Id="rId18" Target="https://stockanalysis.com/stocks/ir/transcripts/556729-q1-2026/" TargetMode="External" /><Relationship Type="http://schemas.openxmlformats.org/officeDocument/2006/relationships/hyperlink" Id="rId15" Target="https://stockanalysis.com/stocks/ir/transcripts/682607-16th-annual-wells-fargo-industrials-materials-conference/" TargetMode="External" /><Relationship Type="http://schemas.openxmlformats.org/officeDocument/2006/relationships/hyperlink" Id="rId16" Target="https://www.atlascopcogroup.com/en/media/press-releases/2026/2026-q2?utm_source=openai" TargetMode="External" /><Relationship Type="http://schemas.openxmlformats.org/officeDocument/2006/relationships/hyperlink" Id="rId12" Target="https://www.barchart.com/stocks/quotes/IR/earnings-estimates" TargetMode="External" /><Relationship Type="http://schemas.openxmlformats.org/officeDocument/2006/relationships/hyperlink" Id="rId25" Target="https://www.fxempire.com/stocks/ir/earnin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2026-07-29T19:58:51Z</dcterms:created>
  <dcterms:modified xsi:type="dcterms:W3CDTF">2026-07-29T19:58:51Z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