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r-earnings-predictions--2026-07-30"/>
    <w:p>
      <w:pPr>
        <w:pStyle w:val="Heading1"/>
      </w:pPr>
      <w:r>
        <w:t xml:space="preserve">IR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~$0.86 vs. cons $0.85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~$1.97B vs. cons $1.97B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~26.4% vs. cons 26.5%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~1.0% vs. cons 1.0%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~$2.16B vs. cons $2.16B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IT&amp;S adjusted EBITDA margin exit-rate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~30.0% vs. cons 29.6% (2H26)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A modest ~</w:t>
            </w:r>
            <w:r>
              <w:t xml:space="preserve">$0.01 EPS beat and credible 2H IT&amp;S-margin exit-rate support an initial ~1.5% residual gain, but unchanged ~$</w:t>
            </w:r>
            <w:r>
              <w:t xml:space="preserve">2.16B FY26 EBITDA guidance versus ~$2.16B consensus leaves out-period estimates largely intact; the market will retain concern over the back-half margin concentration, causing the move to fade toward ~0.5% by day five.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2026-07-29T19:55:17Z</dcterms:created>
  <dcterms:modified xsi:type="dcterms:W3CDTF">2026-07-29T19:55:17Z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