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ITW before writing the preview. Let me gather recent earnings materials, filings, guidance, and news.Let me read the most recent quarter (2026Q1) release and call, plus the year-ago Q2 for comps, and recent news.Let me get the year-ago Q2 (2025Q2) results for comps and recent news/analyst context.Let me get recent ITW news and consensus estimates via web search, plus a quick look at the Q4 2025 full-year results for trajectory.I have strong fundamental data. Let me quickly check for analyst/consensus context via web search.# ITW — Q2 2026 Earnings Preview</w:t>
      </w:r>
    </w:p>
    <w:bookmarkStart w:id="9" w:name="X251eca9e98c5d8cb30577f88f073542e2611c33"/>
    <w:p>
      <w:pPr>
        <w:pStyle w:val="Heading3"/>
      </w:pPr>
      <w:r>
        <w:t xml:space="preserve">Reports Tuesday, July 28, 2026 (before open) | 2026Q2 Earnings Call</w:t>
      </w:r>
    </w:p>
    <w:p>
      <w:r>
        <w:pict>
          <v:rect style="width:0;height:1.5pt" o:hralign="center" o:hrstd="t" o:hr="t"/>
        </w:pict>
      </w:r>
    </w:p>
    <w:bookmarkEnd w:id="9"/>
    <w:bookmarkStart w:id="10" w:name="the-setup"/>
    <w:p>
      <w:pPr>
        <w:pStyle w:val="Heading2"/>
      </w:pPr>
      <w:r>
        <w:t xml:space="preserve">The Setup</w:t>
      </w:r>
    </w:p>
    <w:p>
      <w:pPr>
        <w:pStyle w:val="FirstParagraph"/>
      </w:pPr>
      <w:r>
        <w:t xml:space="preserve">ITW enters this print with momentum on both fundamentals and the stock. Shares closed at</w:t>
      </w:r>
      <w:r>
        <w:t xml:space="preserve"> </w:t>
      </w:r>
      <w:r>
        <w:rPr>
          <w:b/>
          <w:bCs/>
        </w:rPr>
        <w:t xml:space="preserve">~$285 on July 27</w:t>
      </w:r>
      <w:r>
        <w:t xml:space="preserve">, sitting near all-time highs and up roughly</w:t>
      </w:r>
      <w:r>
        <w:t xml:space="preserve"> </w:t>
      </w:r>
      <w:r>
        <w:rPr>
          <w:b/>
          <w:bCs/>
        </w:rPr>
        <w:t xml:space="preserve">+14% year-to-date</w:t>
      </w:r>
      <w:r>
        <w:t xml:space="preserve"> </w:t>
      </w:r>
      <w:r>
        <w:t xml:space="preserve">in 2026 — meaningfully outpacing the tape and re-rating to</w:t>
      </w:r>
      <w:r>
        <w:t xml:space="preserve"> </w:t>
      </w:r>
      <w:r>
        <w:rPr>
          <w:b/>
          <w:bCs/>
        </w:rPr>
        <w:t xml:space="preserve">~25x</w:t>
      </w:r>
      <w:r>
        <w:t xml:space="preserve"> </w:t>
      </w:r>
      <w:r>
        <w:t xml:space="preserve">the $11.30 FY26 EPS guidance midpoint. That leaves a full valuation and a high bar going in: the "beat-and-modest-raise" that ITW reliably delivers may already be largely priced.</w:t>
      </w:r>
    </w:p>
    <w:p>
      <w:pPr>
        <w:pStyle w:val="BodyText"/>
      </w:pPr>
      <w:r>
        <w:t xml:space="preserve">Worth remembering the reaction function: shares</w:t>
      </w:r>
      <w:r>
        <w:t xml:space="preserve"> </w:t>
      </w:r>
      <w:r>
        <w:rPr>
          <w:b/>
          <w:bCs/>
        </w:rPr>
        <w:t xml:space="preserve">jumped sharply after the Q4 print in February</w:t>
      </w:r>
      <w:r>
        <w:t xml:space="preserve"> </w:t>
      </w:r>
      <w:r>
        <w:t xml:space="preserve">(~</w:t>
      </w:r>
      <m:oMath>
        <m:r>
          <m:t>264</m:t>
        </m:r>
        <m:r>
          <m:rPr>
            <m:sty m:val="p"/>
          </m:rPr>
          <m:t>→</m:t>
        </m:r>
        <m:r>
          <m:t> </m:t>
        </m:r>
      </m:oMath>
      <w:r>
        <w:t xml:space="preserve">293) but</w:t>
      </w:r>
      <w:r>
        <w:t xml:space="preserve"> </w:t>
      </w:r>
      <w:r>
        <w:rPr>
          <w:b/>
          <w:bCs/>
        </w:rPr>
        <w:t xml:space="preserve">faded on the Q1 report in late April</w:t>
      </w:r>
      <w:r>
        <w:t xml:space="preserve"> </w:t>
      </w:r>
      <w:r>
        <w:t xml:space="preserve">(~</w:t>
      </w:r>
      <m:oMath>
        <m:r>
          <m:t>268</m:t>
        </m:r>
        <m:r>
          <m:rPr>
            <m:sty m:val="p"/>
          </m:rPr>
          <m:t>→</m:t>
        </m:r>
        <m:r>
          <m:t> </m:t>
        </m:r>
      </m:oMath>
      <w:r>
        <w:t xml:space="preserve">255) despite a guidance raise — a reminder that with expectations elevated, the market is scrutinizing organic growth quality, not just the EPS beat.</w:t>
      </w:r>
    </w:p>
    <w:p>
      <w:pPr>
        <w:pStyle w:val="BodyText"/>
      </w:pPr>
      <w:r>
        <w:rPr>
          <w:b/>
          <w:bCs/>
        </w:rPr>
        <w:t xml:space="preserve">Consensus for Q2 2026 (per Street aggregators):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EPS ~$2.80</w:t>
      </w:r>
      <w:r>
        <w:t xml:space="preserve"> </w:t>
      </w:r>
      <w:r>
        <w:t xml:space="preserve">(+8.5% vs. $2.58 a year ago)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Revenue ~$4.18B</w:t>
      </w:r>
      <w:r>
        <w:t xml:space="preserve"> </w:t>
      </w:r>
      <w:r>
        <w:t xml:space="preserve">(+3.2% vs. $4.053B)</w:t>
      </w:r>
    </w:p>
    <w:p>
      <w:pPr>
        <w:pStyle w:val="FirstParagraph"/>
      </w:pPr>
      <w:r>
        <w:t xml:space="preserve">Notably, management's own cadence framework implies a slightly higher number: on the Q1 call, CFO Michael Larsen guided to a</w:t>
      </w:r>
      <w:r>
        <w:t xml:space="preserve"> </w:t>
      </w:r>
      <w:r>
        <w:rPr>
          <w:b/>
          <w:bCs/>
        </w:rPr>
        <w:t xml:space="preserve">48/52 first-half/second-half EPS split</w:t>
      </w:r>
      <w:r>
        <w:t xml:space="preserve"> </w:t>
      </w:r>
      <w:r>
        <w:t xml:space="preserve">and said Q2 should contribute</w:t>
      </w:r>
      <w:r>
        <w:t xml:space="preserve"> </w:t>
      </w:r>
      <w:r>
        <w:rPr>
          <w:b/>
          <w:bCs/>
        </w:rPr>
        <w:t xml:space="preserve">~25% of full-year EPS</w:t>
      </w:r>
      <w:r>
        <w:t xml:space="preserve"> </w:t>
      </w:r>
      <w:r>
        <w:t xml:space="preserve">— that math points to</w:t>
      </w:r>
      <w:r>
        <w:t xml:space="preserve"> </w:t>
      </w:r>
      <w:r>
        <w:rPr>
          <w:b/>
          <w:bCs/>
        </w:rPr>
        <w:t xml:space="preserve">~$2.82–2.83</w:t>
      </w:r>
      <w:r>
        <w:t xml:space="preserve">, i.e., a touch above consensus. That is the number to benchmark against.</w:t>
      </w:r>
    </w:p>
    <w:p>
      <w:r>
        <w:pict>
          <v:rect style="width:0;height:1.5pt" o:hralign="center" o:hrstd="t" o:hr="t"/>
        </w:pict>
      </w:r>
    </w:p>
    <w:bookmarkEnd w:id="10"/>
    <w:bookmarkStart w:id="11" w:name="Xf6df32032471f2233441ceeafeb3018f09264da"/>
    <w:p>
      <w:pPr>
        <w:pStyle w:val="Heading2"/>
      </w:pPr>
      <w:r>
        <w:t xml:space="preserve">Year-Ago Comp (Q2 2025) — What They're Lapping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$4.053B (+1%,</w:t>
            </w:r>
            <w:r>
              <w:t xml:space="preserve"> </w:t>
            </w:r>
            <w:r>
              <w:rPr>
                <w:b/>
                <w:bCs/>
              </w:rPr>
              <w:t xml:space="preserve">organic ~flat / -0.4%</w:t>
            </w:r>
            <w:r>
              <w:t xml:space="preserve">)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</w:t>
            </w:r>
          </w:p>
        </w:tc>
        <w:tc>
          <w:tcPr/>
          <w:p>
            <w:pPr>
              <w:pStyle w:val="Compact"/>
            </w:pPr>
            <w:r>
              <w:t xml:space="preserve">26.3% (record; enterprise initiatives +130 bps)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</w:pPr>
            <w:r>
              <w:t xml:space="preserve">$2.58 (Q2 record)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FCF conversion</w:t>
            </w:r>
          </w:p>
        </w:tc>
        <w:tc>
          <w:tcPr/>
          <w:p>
            <w:pPr>
              <w:pStyle w:val="Compact"/>
            </w:pPr>
            <w:r>
              <w:t xml:space="preserve">59% of net income</w:t>
            </w:r>
          </w:p>
        </w:tc>
      </w:tr>
    </w:tbl>
    <w:p>
      <w:pPr>
        <w:pStyle w:val="BodyText"/>
      </w:pPr>
      <w:r>
        <w:t xml:space="preserve">The organic-growth comp is easy — ITW was essentially flat organically in Q2 2025, weighed down by Construction (-6.9%), Polymers &amp; Fluids (-3.7%), and Test &amp; Measurement (-0.7%). That soft base sets up favorable year-over-year compares in exactly the segments now inflecting.</w:t>
      </w:r>
    </w:p>
    <w:p>
      <w:r>
        <w:pict>
          <v:rect style="width:0;height:1.5pt" o:hralign="center" o:hrstd="t" o:hr="t"/>
        </w:pict>
      </w:r>
    </w:p>
    <w:bookmarkEnd w:id="11"/>
    <w:bookmarkStart w:id="12" w:name="X71a7cea3a3a9fd51d80eda22ee369ba79436ccd"/>
    <w:p>
      <w:pPr>
        <w:pStyle w:val="Heading2"/>
      </w:pPr>
      <w:r>
        <w:t xml:space="preserve">The Key Debate: Is the CapEx/Short-Cycle Recovery Real?</w:t>
      </w:r>
    </w:p>
    <w:p>
      <w:pPr>
        <w:pStyle w:val="FirstParagraph"/>
      </w:pPr>
      <w:r>
        <w:t xml:space="preserve">This is the central question for the quarter. ITW is running as</w:t>
      </w:r>
      <w:r>
        <w:t xml:space="preserve"> </w:t>
      </w:r>
      <w:r>
        <w:rPr>
          <w:b/>
          <w:bCs/>
        </w:rPr>
        <w:t xml:space="preserve">"a tale of two markets"</w:t>
      </w:r>
      <w:r>
        <w:t xml:space="preserve">: strengthening CapEx/industrial short-cycle businesses versus still-soft (but improving and share-gaining) consumer-facing lines. What to watch by segment: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Test &amp; Measurement &amp; Electronics</w:t>
      </w:r>
      <w:r>
        <w:t xml:space="preserve"> </w:t>
      </w:r>
      <w:r>
        <w:t xml:space="preserve">— The standout. Q1 organic was</w:t>
      </w:r>
      <w:r>
        <w:t xml:space="preserve"> </w:t>
      </w:r>
      <w:r>
        <w:rPr>
          <w:b/>
          <w:bCs/>
        </w:rPr>
        <w:t xml:space="preserve">+5%</w:t>
      </w:r>
      <w:r>
        <w:t xml:space="preserve"> </w:t>
      </w:r>
      <w:r>
        <w:t xml:space="preserve">(best in 3 years), with</w:t>
      </w:r>
      <w:r>
        <w:t xml:space="preserve"> </w:t>
      </w:r>
      <w:r>
        <w:rPr>
          <w:b/>
          <w:bCs/>
        </w:rPr>
        <w:t xml:space="preserve">semiconductor-related revenue up &gt;15%</w:t>
      </w:r>
      <w:r>
        <w:t xml:space="preserve"> </w:t>
      </w:r>
      <w:r>
        <w:t xml:space="preserve">and electronics +10%. Management flagged</w:t>
      </w:r>
      <w:r>
        <w:t xml:space="preserve"> </w:t>
      </w:r>
      <w:r>
        <w:rPr>
          <w:b/>
          <w:bCs/>
        </w:rPr>
        <w:t xml:space="preserve">order rates running meaningfully above shipments</w:t>
      </w:r>
      <w:r>
        <w:t xml:space="preserve"> </w:t>
      </w:r>
      <w:r>
        <w:t xml:space="preserve">— upside NOT baked into guidance. Rising fab utilization supports the "sustainable recovery" thesis. Against an easy -0.7% comp, this should be a clear acceleration; watch the organic print and any comments on backlog/order momentum.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Welding</w:t>
      </w:r>
      <w:r>
        <w:t xml:space="preserve"> </w:t>
      </w:r>
      <w:r>
        <w:t xml:space="preserve">— +6% organic in Q1, broad-based across industrial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commercial, with strong orders carrying into Q2 and best-in-class</w:t>
      </w:r>
      <w:r>
        <w:t xml:space="preserve"> </w:t>
      </w:r>
      <w:r>
        <w:rPr>
          <w:b/>
          <w:bCs/>
        </w:rPr>
        <w:t xml:space="preserve">32%+ margins</w:t>
      </w:r>
      <w:r>
        <w:t xml:space="preserve">. A key confirming signal on the industrial recovery.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Automotive OEM</w:t>
      </w:r>
      <w:r>
        <w:t xml:space="preserve"> </w:t>
      </w:r>
      <w:r>
        <w:t xml:space="preserve">— Q1 organic -0.9% (still outperforming builds by ~200–300 bps). The swing factor is</w:t>
      </w:r>
      <w:r>
        <w:t xml:space="preserve"> </w:t>
      </w:r>
      <w:r>
        <w:rPr>
          <w:b/>
          <w:bCs/>
        </w:rPr>
        <w:t xml:space="preserve">China</w:t>
      </w:r>
      <w:r>
        <w:t xml:space="preserve">, where builds were down 10% in Q1 but were guided to inflect to roughly flat in Q2 (double-digit EV growth, where ITW is well-positioned). Management modeled</w:t>
      </w:r>
      <w:r>
        <w:t xml:space="preserve"> </w:t>
      </w:r>
      <w:r>
        <w:rPr>
          <w:b/>
          <w:bCs/>
        </w:rPr>
        <w:t xml:space="preserve">low-to-mid-single-digit sequential growth and &gt;100 bps sequential margin improvement</w:t>
      </w:r>
      <w:r>
        <w:t xml:space="preserve"> </w:t>
      </w:r>
      <w:r>
        <w:t xml:space="preserve">— this is a "prove it" quarter for the auto ramp.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Food Equipment</w:t>
      </w:r>
      <w:r>
        <w:t xml:space="preserve"> </w:t>
      </w:r>
      <w:r>
        <w:t xml:space="preserve">— The Q1 sore spot: organic -2.8% on a weak January in institutional/education, with margins down 180 bps. Management called it an "isolated" issue that improved through Feb–April. Watch whether margins normalize (should be back near ~27–28%) and whether the institutional recovery holds; QSR/service strength is the offset.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Construction Products</w:t>
      </w:r>
      <w:r>
        <w:t xml:space="preserve"> </w:t>
      </w:r>
      <w:r>
        <w:t xml:space="preserve">— Q1 was the "best organic performance in 4 years" even while down 1%; laps a very easy -6.9% comp. A "housing recovery optionality" story — look for the first positive organic print.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Polymers &amp; Fluids / Specialty Products</w:t>
      </w:r>
      <w:r>
        <w:t xml:space="preserve"> </w:t>
      </w:r>
      <w:r>
        <w:t xml:space="preserve">— P&amp;F +1.7% organic on aftermarket share gains.</w:t>
      </w:r>
      <w:r>
        <w:t xml:space="preserve"> </w:t>
      </w:r>
      <w:r>
        <w:rPr>
          <w:b/>
          <w:bCs/>
        </w:rPr>
        <w:t xml:space="preserve">Specialty was -4.7%</w:t>
      </w:r>
      <w:r>
        <w:t xml:space="preserve">, dragged by product line simplification (PLS) and</w:t>
      </w:r>
      <w:r>
        <w:t xml:space="preserve"> </w:t>
      </w:r>
      <w:r>
        <w:rPr>
          <w:b/>
          <w:bCs/>
        </w:rPr>
        <w:t xml:space="preserve">delayed Middle East aerospace sales</w:t>
      </w:r>
      <w:r>
        <w:t xml:space="preserve"> </w:t>
      </w:r>
      <w:r>
        <w:t xml:space="preserve">(~$100M annual, &lt;1% of ITW; tied to regional geopolitics). Watch whether those delayed sales convert and whether Specialty returns to positive organic as guided.</w:t>
      </w:r>
    </w:p>
    <w:p>
      <w:pPr>
        <w:pStyle w:val="FirstParagraph"/>
      </w:pPr>
      <w:r>
        <w:t xml:space="preserve">Management reiterated that</w:t>
      </w:r>
      <w:r>
        <w:t xml:space="preserve"> </w:t>
      </w:r>
      <w:r>
        <w:rPr>
          <w:b/>
          <w:bCs/>
        </w:rPr>
        <w:t xml:space="preserve">all 7 segments should post positive organic growth AND margin expansion in 2026</w:t>
      </w:r>
      <w:r>
        <w:t xml:space="preserve"> </w:t>
      </w:r>
      <w:r>
        <w:t xml:space="preserve">— any segment breaking that framework would be a negative surprise.</w:t>
      </w:r>
    </w:p>
    <w:p>
      <w:r>
        <w:pict>
          <v:rect style="width:0;height:1.5pt" o:hralign="center" o:hrstd="t" o:hr="t"/>
        </w:pict>
      </w:r>
    </w:p>
    <w:bookmarkEnd w:id="12"/>
    <w:bookmarkStart w:id="13" w:name="margins--enterprise-initiatives"/>
    <w:p>
      <w:pPr>
        <w:pStyle w:val="Heading2"/>
      </w:pPr>
      <w:r>
        <w:t xml:space="preserve">Margins &amp; Enterprise Initiatives</w:t>
      </w:r>
    </w:p>
    <w:p>
      <w:pPr>
        <w:pStyle w:val="Compact"/>
        <w:numPr>
          <w:ilvl w:val="0"/>
          <w:numId w:val="1003"/>
        </w:numPr>
      </w:pPr>
      <w:r>
        <w:t xml:space="preserve">Q1 operating margin was</w:t>
      </w:r>
      <w:r>
        <w:t xml:space="preserve"> </w:t>
      </w:r>
      <w:r>
        <w:rPr>
          <w:b/>
          <w:bCs/>
        </w:rPr>
        <w:t xml:space="preserve">25.4% (+60 bps)</w:t>
      </w:r>
      <w:r>
        <w:t xml:space="preserve">; management guided to</w:t>
      </w:r>
      <w:r>
        <w:t xml:space="preserve"> </w:t>
      </w:r>
      <w:r>
        <w:rPr>
          <w:b/>
          <w:bCs/>
        </w:rPr>
        <w:t xml:space="preserve">&gt;100 bps sequential improvement in Q2 to ~26.5–27%</w:t>
      </w:r>
      <w:r>
        <w:t xml:space="preserve">, then further gains into 2H.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Enterprise initiatives</w:t>
      </w:r>
      <w:r>
        <w:t xml:space="preserve"> </w:t>
      </w:r>
      <w:r>
        <w:t xml:space="preserve">(strategic sourcing + 80/20) contributed 120 bps in Q1 and are the reliable, volume-independent lever — on track for</w:t>
      </w:r>
      <w:r>
        <w:t xml:space="preserve"> </w:t>
      </w:r>
      <w:r>
        <w:rPr>
          <w:b/>
          <w:bCs/>
        </w:rPr>
        <w:t xml:space="preserve">~100 bps for the full year</w:t>
      </w:r>
      <w:r>
        <w:t xml:space="preserve">, part of the march toward a</w:t>
      </w:r>
      <w:r>
        <w:t xml:space="preserve"> </w:t>
      </w:r>
      <w:r>
        <w:rPr>
          <w:b/>
          <w:bCs/>
        </w:rPr>
        <w:t xml:space="preserve">30% margin goal by 2030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Incremental margins</w:t>
      </w:r>
      <w:r>
        <w:t xml:space="preserve">: guided</w:t>
      </w:r>
      <w:r>
        <w:t xml:space="preserve"> </w:t>
      </w:r>
      <w:r>
        <w:rPr>
          <w:b/>
          <w:bCs/>
        </w:rPr>
        <w:t xml:space="preserve">mid-to-high 40s</w:t>
      </w:r>
      <w:r>
        <w:t xml:space="preserve">; the ramp in higher-growth T&amp;M/Welding volumes should help.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Price/cost</w:t>
      </w:r>
      <w:r>
        <w:t xml:space="preserve">: expected to be</w:t>
      </w:r>
      <w:r>
        <w:t xml:space="preserve"> </w:t>
      </w:r>
      <w:r>
        <w:rPr>
          <w:b/>
          <w:bCs/>
        </w:rPr>
        <w:t xml:space="preserve">modestly accretive</w:t>
      </w:r>
      <w:r>
        <w:t xml:space="preserve"> </w:t>
      </w:r>
      <w:r>
        <w:t xml:space="preserve">after tariffs; management noted a bit</w:t>
      </w:r>
      <w:r>
        <w:t xml:space="preserve"> </w:t>
      </w:r>
      <w:r>
        <w:rPr>
          <w:i/>
          <w:iCs/>
        </w:rPr>
        <w:t xml:space="preserve">more</w:t>
      </w:r>
      <w:r>
        <w:t xml:space="preserve"> </w:t>
      </w:r>
      <w:r>
        <w:t xml:space="preserve">price coming through starting in Q2. Their "producer where we sell" model largely insulates them from direct tariff impact — and they've explicitly said they carry</w:t>
      </w:r>
      <w:r>
        <w:t xml:space="preserve"> </w:t>
      </w:r>
      <w:r>
        <w:rPr>
          <w:b/>
          <w:bCs/>
        </w:rPr>
        <w:t xml:space="preserve">no tariff-refund benefit</w:t>
      </w:r>
      <w:r>
        <w:t xml:space="preserve"> </w:t>
      </w:r>
      <w:r>
        <w:t xml:space="preserve">(post-IEEPA ruling) in guidance.</w:t>
      </w:r>
    </w:p>
    <w:p>
      <w:r>
        <w:pict>
          <v:rect style="width:0;height:1.5pt" o:hralign="center" o:hrstd="t" o:hr="t"/>
        </w:pict>
      </w:r>
    </w:p>
    <w:bookmarkEnd w:id="13"/>
    <w:bookmarkStart w:id="14" w:name="guidance--will-they-raise-again"/>
    <w:p>
      <w:pPr>
        <w:pStyle w:val="Heading2"/>
      </w:pPr>
      <w:r>
        <w:t xml:space="preserve">Guidance — Will They Raise Again?</w:t>
      </w:r>
    </w:p>
    <w:p>
      <w:pPr>
        <w:pStyle w:val="FirstParagraph"/>
      </w:pPr>
      <w:r>
        <w:t xml:space="preserve">ITW raised FY26 GAAP EPS by</w:t>
      </w:r>
      <w:r>
        <w:t xml:space="preserve"> </w:t>
      </w:r>
      <m:oMath>
        <m:r>
          <m:t>0.10</m:t>
        </m:r>
        <m:r>
          <m:t>a</m:t>
        </m:r>
        <m:r>
          <m:t>t</m:t>
        </m:r>
        <m:r>
          <m:t>Q</m:t>
        </m:r>
        <m:r>
          <m:t>1</m:t>
        </m:r>
        <m:r>
          <m:t>t</m:t>
        </m:r>
        <m:r>
          <m:t>o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11.10–$11.50 (midpoint $11.30, +8%)**, while holding</w:t>
      </w:r>
      <w:r>
        <w:t xml:space="preserve"> </w:t>
      </w:r>
      <w:r>
        <w:rPr>
          <w:b/>
          <w:bCs/>
        </w:rPr>
        <w:t xml:space="preserve">organic growth at 1–3%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operating margin at 26.5–27.5% (~+100 bps)</w:t>
      </w:r>
      <w:r>
        <w:t xml:space="preserve">. The Q1 raise was driven largely by a</w:t>
      </w:r>
      <w:r>
        <w:t xml:space="preserve"> </w:t>
      </w:r>
      <w:r>
        <w:rPr>
          <w:b/>
          <w:bCs/>
        </w:rPr>
        <w:t xml:space="preserve">lower tax rate (23–24%)</w:t>
      </w:r>
      <w:r>
        <w:t xml:space="preserve">, not a demand-driven organic upgrade.</w:t>
      </w:r>
    </w:p>
    <w:p>
      <w:pPr>
        <w:pStyle w:val="BodyText"/>
      </w:pPr>
      <w:r>
        <w:t xml:space="preserve">The key tension: management keeps guidance tied to</w:t>
      </w:r>
      <w:r>
        <w:t xml:space="preserve"> </w:t>
      </w:r>
      <w:r>
        <w:rPr>
          <w:b/>
          <w:bCs/>
        </w:rPr>
        <w:t xml:space="preserve">current run-rates + normal seasonality</w:t>
      </w:r>
      <w:r>
        <w:t xml:space="preserve">, deliberately</w:t>
      </w:r>
      <w:r>
        <w:t xml:space="preserve"> </w:t>
      </w:r>
      <w:r>
        <w:rPr>
          <w:i/>
          <w:iCs/>
        </w:rPr>
        <w:t xml:space="preserve">excluding</w:t>
      </w:r>
      <w:r>
        <w:t xml:space="preserve"> </w:t>
      </w:r>
      <w:r>
        <w:t xml:space="preserve">the above-trend order strength in T&amp;M and Welding. In April they said organic was trending toward the</w:t>
      </w:r>
      <w:r>
        <w:t xml:space="preserve"> </w:t>
      </w:r>
      <w:r>
        <w:rPr>
          <w:b/>
          <w:bCs/>
        </w:rPr>
        <w:t xml:space="preserve">high end of the 1–3% range</w:t>
      </w:r>
      <w:r>
        <w:t xml:space="preserve">. So the live questions are:</w:t>
      </w:r>
    </w:p>
    <w:p>
      <w:pPr>
        <w:pStyle w:val="Compact"/>
        <w:numPr>
          <w:ilvl w:val="0"/>
          <w:numId w:val="1004"/>
        </w:numPr>
      </w:pPr>
      <w:r>
        <w:t xml:space="preserve">Do they finally flow the CapEx order strength into a</w:t>
      </w:r>
      <w:r>
        <w:t xml:space="preserve"> </w:t>
      </w:r>
      <w:r>
        <w:rPr>
          <w:b/>
          <w:bCs/>
        </w:rPr>
        <w:t xml:space="preserve">higher organic outlook</w:t>
      </w:r>
      <w:r>
        <w:t xml:space="preserve">, or again hold conservative?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FX tailwind</w:t>
      </w:r>
      <w:r>
        <w:t xml:space="preserve"> </w:t>
      </w:r>
      <w:r>
        <w:t xml:space="preserve">— a weak dollar added +3.9% to Q1 revenue; if that persists it's another lever for a reported-revenue/EPS raise.</w:t>
      </w:r>
    </w:p>
    <w:p>
      <w:pPr>
        <w:pStyle w:val="FirstParagraph"/>
      </w:pPr>
      <w:r>
        <w:t xml:space="preserve">A raise is plausible but arguably expected given the setup — the upside surprise would be a raise driven by</w:t>
      </w:r>
      <w:r>
        <w:t xml:space="preserve"> </w:t>
      </w:r>
      <w:r>
        <w:rPr>
          <w:i/>
          <w:iCs/>
        </w:rPr>
        <w:t xml:space="preserve">organic</w:t>
      </w:r>
      <w:r>
        <w:t xml:space="preserve"> </w:t>
      </w:r>
      <w:r>
        <w:t xml:space="preserve">rather than tax/FX.</w:t>
      </w:r>
    </w:p>
    <w:p>
      <w:r>
        <w:pict>
          <v:rect style="width:0;height:1.5pt" o:hralign="center" o:hrstd="t" o:hr="t"/>
        </w:pict>
      </w:r>
    </w:p>
    <w:bookmarkEnd w:id="14"/>
    <w:bookmarkStart w:id="15" w:name="capital-returns--cash"/>
    <w:p>
      <w:pPr>
        <w:pStyle w:val="Heading2"/>
      </w:pPr>
      <w:r>
        <w:t xml:space="preserve">Capital Returns &amp; Cash</w:t>
      </w:r>
    </w:p>
    <w:p>
      <w:pPr>
        <w:pStyle w:val="Compact"/>
        <w:numPr>
          <w:ilvl w:val="0"/>
          <w:numId w:val="1005"/>
        </w:numPr>
      </w:pPr>
      <w:r>
        <w:t xml:space="preserve">On track for **~</w:t>
      </w:r>
      <m:oMath>
        <m:r>
          <m:t>1.5</m:t>
        </m:r>
        <m:r>
          <m:t>B</m:t>
        </m:r>
        <m:r>
          <m:t>o</m:t>
        </m:r>
        <m:r>
          <m:t>f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s</m:t>
        </m:r>
        <m:r>
          <m:t>i</m:t>
        </m:r>
        <m:r>
          <m:t>n</m:t>
        </m:r>
        <m:r>
          <m:t>2026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</m:oMath>
      <w:r>
        <w:t xml:space="preserve">375M/quarter cadence; $375M repurchased in Q1).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FCF conversion &gt;100% of net income</w:t>
      </w:r>
      <w:r>
        <w:t xml:space="preserve"> </w:t>
      </w:r>
      <w:r>
        <w:t xml:space="preserve">expected for the year (Q1's 69% reflects normal seasonality).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~27% after-tax ROIC</w:t>
      </w:r>
      <w:r>
        <w:t xml:space="preserve"> </w:t>
      </w:r>
      <w:r>
        <w:t xml:space="preserve">— among the best in multi-industrial.</w:t>
      </w:r>
    </w:p>
    <w:p>
      <w:pPr>
        <w:pStyle w:val="Compact"/>
        <w:numPr>
          <w:ilvl w:val="0"/>
          <w:numId w:val="1005"/>
        </w:numPr>
      </w:pPr>
      <w:r>
        <w:t xml:space="preserve">Recently raised dividend (Q1 paid $1.61/sh vs $1.50 a year ago); ITW is a Dividend King with a long streak of increases.</w:t>
      </w:r>
    </w:p>
    <w:p>
      <w:r>
        <w:pict>
          <v:rect style="width:0;height:1.5pt" o:hralign="center" o:hrstd="t" o:hr="t"/>
        </w:pict>
      </w:r>
    </w:p>
    <w:bookmarkEnd w:id="15"/>
    <w:bookmarkStart w:id="16" w:name="what-to-listen-for-on-the-call"/>
    <w:p>
      <w:pPr>
        <w:pStyle w:val="Heading2"/>
      </w:pPr>
      <w:r>
        <w:t xml:space="preserve">What to Listen For on the Call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T&amp;M/Electronics organic and order commentary</w:t>
      </w:r>
      <w:r>
        <w:t xml:space="preserve"> </w:t>
      </w:r>
      <w:r>
        <w:t xml:space="preserve">— the clearest tell on whether the semi/electronics recovery is durable and whether it warrants a guidance upgrade.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China auto builds</w:t>
      </w:r>
      <w:r>
        <w:t xml:space="preserve"> </w:t>
      </w:r>
      <w:r>
        <w:t xml:space="preserve">— did the guided Q1→Q2 inflection materialize?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Food Equipment margin normalization</w:t>
      </w:r>
      <w:r>
        <w:t xml:space="preserve"> </w:t>
      </w:r>
      <w:r>
        <w:t xml:space="preserve">and institutional/education demand.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Guidance philosophy</w:t>
      </w:r>
      <w:r>
        <w:t xml:space="preserve"> </w:t>
      </w:r>
      <w:r>
        <w:t xml:space="preserve">— organic-driven raise vs. tax/FX; and whether they lift the 1–3% organic range.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Specialty / Middle East delayed sales</w:t>
      </w:r>
      <w:r>
        <w:t xml:space="preserve"> </w:t>
      </w:r>
      <w:r>
        <w:t xml:space="preserve">recovery.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Price/cost and tariff</w:t>
      </w:r>
      <w:r>
        <w:t xml:space="preserve"> </w:t>
      </w:r>
      <w:r>
        <w:t xml:space="preserve">color into 2H.</w:t>
      </w:r>
    </w:p>
    <w:p>
      <w:r>
        <w:pict>
          <v:rect style="width:0;height:1.5pt" o:hralign="center" o:hrstd="t" o:hr="t"/>
        </w:pict>
      </w:r>
    </w:p>
    <w:bookmarkEnd w:id="16"/>
    <w:bookmarkStart w:id="17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ITW should deliver its trademark clean quarter —</w:t>
      </w:r>
      <w:r>
        <w:t xml:space="preserve"> </w:t>
      </w:r>
      <w:r>
        <w:rPr>
          <w:b/>
          <w:bCs/>
        </w:rPr>
        <w:t xml:space="preserve">EPS around $2.80–2.83 (+8–9%)</w:t>
      </w:r>
      <w:r>
        <w:t xml:space="preserve"> </w:t>
      </w:r>
      <w:r>
        <w:t xml:space="preserve">on low-single-digit organic growth, ~26.5–27% margins, and likely another EPS guide nudge. The fundamental story is improving: an easy Q2 organic comp, accelerating CapEx short-cycle demand (Welding, semis), the China auto ramp, and reliable enterprise-initiative margin gains.</w:t>
      </w:r>
      <w:r>
        <w:t xml:space="preserve"> </w:t>
      </w:r>
      <w:r>
        <w:rPr>
          <w:b/>
          <w:bCs/>
        </w:rPr>
        <w:t xml:space="preserve">The risk is in the stock, not the story</w:t>
      </w:r>
      <w:r>
        <w:t xml:space="preserve"> </w:t>
      </w:r>
      <w:r>
        <w:t xml:space="preserve">— at ~25x and near record highs after a big run, ITW needs</w:t>
      </w:r>
      <w:r>
        <w:t xml:space="preserve"> </w:t>
      </w:r>
      <w:r>
        <w:rPr>
          <w:i/>
          <w:iCs/>
        </w:rPr>
        <w:t xml:space="preserve">organic</w:t>
      </w:r>
      <w:r>
        <w:t xml:space="preserve"> </w:t>
      </w:r>
      <w:r>
        <w:t xml:space="preserve">acceleration and evidence that the order strength is converting to revenue to justify further upside. A tax/FX-flavored beat that leaves the organic range unchanged could underwhelm given the elevated bar, much as the Q1 print did.</w:t>
      </w:r>
    </w:p>
    <w:p>
      <w:pPr>
        <w:pStyle w:val="BodyText"/>
      </w:pPr>
      <w:r>
        <w:rPr>
          <w:i/>
          <w:iCs/>
        </w:rPr>
        <w:t xml:space="preserve">Sources: ITW Q1 2026, Q4/FY2025, and Q2 2025 earnings releases and call transcripts; Finnhub price data; Street consensus estimates and preview coverage via web search (Zacks/others: EPS ~</w:t>
      </w:r>
      <m:oMath>
        <m:r>
          <m:t>2.80</m:t>
        </m:r>
        <m:r>
          <m:rPr>
            <m:sty m:val="p"/>
          </m:rPr>
          <m:t>,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t> </m:t>
        </m:r>
      </m:oMath>
      <w:r>
        <w:rPr>
          <w:i/>
          <w:iCs/>
        </w:rPr>
        <w:t xml:space="preserve">4.18B).</w:t>
      </w:r>
    </w:p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2026-07-28T00:52:17Z</dcterms:created>
  <dcterms:modified xsi:type="dcterms:W3CDTF">2026-07-28T00:52:17Z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