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385503bb247e59dd24b7624b9d5ee367bf852d6"/>
    <w:p>
      <w:pPr>
        <w:pStyle w:val="Heading1"/>
      </w:pPr>
      <w:r>
        <w:t xml:space="preserve">Illinois Tool Works (ITW) — Q2 2026 Earnings Preview</w:t>
      </w:r>
    </w:p>
    <w:p>
      <w:pPr>
        <w:pStyle w:val="FirstParagraph"/>
      </w:pPr>
      <w:r>
        <w:rPr>
          <w:b/>
          <w:bCs/>
        </w:rPr>
        <w:t xml:space="preserve">Report Date:</w:t>
      </w:r>
      <w:r>
        <w:t xml:space="preserve"> </w:t>
      </w:r>
      <w:r>
        <w:t xml:space="preserve">Tuesday, July 28, 2026, before market open |</w:t>
      </w:r>
      <w:r>
        <w:t xml:space="preserve"> </w:t>
      </w:r>
      <w:r>
        <w:rPr>
          <w:b/>
          <w:bCs/>
        </w:rPr>
        <w:t xml:space="preserve">Fiscal Period:</w:t>
      </w:r>
      <w:r>
        <w:t xml:space="preserve"> </w:t>
      </w:r>
      <w:r>
        <w:t xml:space="preserve">Q2 2026</w:t>
      </w:r>
    </w:p>
    <w:p>
      <w:r>
        <w:pict>
          <v:rect style="width:0;height:1.5pt" o:hralign="center" o:hrstd="t" o:hr="t"/>
        </w:pict>
      </w:r>
    </w:p>
    <w:bookmarkStart w:id="9" w:name="setup-into-the-print"/>
    <w:p>
      <w:pPr>
        <w:pStyle w:val="Heading2"/>
      </w:pPr>
      <w:r>
        <w:t xml:space="preserve">Setup Into the Print</w:t>
      </w:r>
    </w:p>
    <w:p>
      <w:pPr>
        <w:pStyle w:val="FirstParagraph"/>
      </w:pPr>
      <w:r>
        <w:t xml:space="preserve">ITW shares have been grinding higher heading into the report, closing at $284.86 on July 27, up from roughly $249.50 at the start of the year — a run that has taken the stock near its 52-week high just ahead of earnings. Sentiment among analysts, however, remains lukewarm relative to the price action: Illinois Tool Works shares have moved steadily higher into the earnings date, with a 30 day share price return of 7.33% and a year to date share price return of 13.43%. Yet over a longer window, ITW stock has risen 7.1% over the past 52 weeks, lagging behind the broader S&amp;P 500 Index's 20.7% return and the Industrial Select Sector SPDR ETF's roughly 22% gain, and analysts' consensus view on ITW stock is cautious, with an overall "Hold" rating, with the average analyst price target of $279.56 implying only modest upside from current levels — essentially in line with or slightly below where the stock trades today, suggesting a good deal of good news is already priced in.</w:t>
      </w:r>
    </w:p>
    <w:bookmarkEnd w:id="9"/>
    <w:bookmarkStart w:id="10" w:name="consensus-expectations"/>
    <w:p>
      <w:pPr>
        <w:pStyle w:val="Heading2"/>
      </w:pPr>
      <w:r>
        <w:t xml:space="preserve">Consensus Expectations</w:t>
      </w:r>
    </w:p>
    <w:p>
      <w:pPr>
        <w:pStyle w:val="FirstParagraph"/>
      </w:pPr>
      <w:r>
        <w:t xml:space="preserve">Wall Street is looking for continued steady, if unspectacular, growth:</w:t>
      </w:r>
    </w:p>
    <w:p>
      <w:pPr>
        <w:pStyle w:val="Compact"/>
        <w:numPr>
          <w:ilvl w:val="0"/>
          <w:numId w:val="1001"/>
        </w:numPr>
      </w:pPr>
      <w:r>
        <w:rPr>
          <w:b/>
          <w:bCs/>
        </w:rPr>
        <w:t xml:space="preserve">EPS:</w:t>
      </w:r>
      <w:r>
        <w:t xml:space="preserve"> </w:t>
      </w:r>
      <w:r>
        <w:t xml:space="preserve">The consensus estimate for adjusted earnings is pinned at $2.80 per share, indicating an 8.5% increase from the year-ago quarter's number.</w:t>
      </w:r>
    </w:p>
    <w:p>
      <w:pPr>
        <w:pStyle w:val="Compact"/>
        <w:numPr>
          <w:ilvl w:val="0"/>
          <w:numId w:val="1001"/>
        </w:numPr>
      </w:pPr>
      <w:r>
        <w:rPr>
          <w:b/>
          <w:bCs/>
        </w:rPr>
        <w:t xml:space="preserve">Revenue:</w:t>
      </w:r>
      <w:r>
        <w:t xml:space="preserve"> </w:t>
      </w:r>
      <w:r>
        <w:t xml:space="preserve">The consensus estimate for second-quarter revenues is pegged at $4.18 billion, suggesting growth of 3.2% from the year-ago quarter's figure.</w:t>
      </w:r>
    </w:p>
    <w:p>
      <w:pPr>
        <w:pStyle w:val="Compact"/>
        <w:numPr>
          <w:ilvl w:val="0"/>
          <w:numId w:val="1001"/>
        </w:numPr>
      </w:pPr>
      <w:r>
        <w:rPr>
          <w:b/>
          <w:bCs/>
        </w:rPr>
        <w:t xml:space="preserve">Track record:</w:t>
      </w:r>
      <w:r>
        <w:t xml:space="preserve"> </w:t>
      </w:r>
      <w:r>
        <w:t xml:space="preserve">The company has an impressive earnings surprise history, having outperformed the consensus estimate in each of the preceding four quarters, with the average surprise at 2.8%. Estimate revisions have been muted into the print — analysts covering the company have generally reconfirmed their estimates over the last 30 days, suggesting they anticipate the business will stay the course heading into earnings, though it's worth noting Illinois Tool Works has missed Wall Street's revenue estimates multiple times over the last two years — a top-line beat is not a given even as EPS tends to come in ahead.</w:t>
      </w:r>
    </w:p>
    <w:p>
      <w:pPr>
        <w:pStyle w:val="Compact"/>
        <w:numPr>
          <w:ilvl w:val="0"/>
          <w:numId w:val="1001"/>
        </w:numPr>
      </w:pPr>
      <w:r>
        <w:t xml:space="preserve">Zacks' quant model gives a modest edge toward a beat: Illinois Tool Works currently has an Earnings ESP of +0.31%, which suggests that analysts have recently become bullish on the company's earnings prospects, combined with a Hold-equivalent Zacks Rank.</w:t>
      </w:r>
    </w:p>
    <w:p>
      <w:pPr>
        <w:pStyle w:val="FirstParagraph"/>
      </w:pPr>
      <w:r>
        <w:t xml:space="preserve">For the</w:t>
      </w:r>
      <w:r>
        <w:t xml:space="preserve"> </w:t>
      </w:r>
      <w:r>
        <w:rPr>
          <w:b/>
          <w:bCs/>
        </w:rPr>
        <w:t xml:space="preserve">full year</w:t>
      </w:r>
      <w:r>
        <w:t xml:space="preserve">, consensus sits close to management's own guidance, at roughly $11.37 in EPS (per Zacks/Barchart estimates), aligning with ITW's raised guidance range.</w:t>
      </w:r>
    </w:p>
    <w:bookmarkEnd w:id="10"/>
    <w:bookmarkStart w:id="11" w:name="X093563eae4f6a0a7c7d7b5776ce296fd8e7db4a"/>
    <w:p>
      <w:pPr>
        <w:pStyle w:val="Heading2"/>
      </w:pPr>
      <w:r>
        <w:t xml:space="preserve">What Happened Last Quarter (Q1 2026 Recap) — The Baseline to Beat</w:t>
      </w:r>
    </w:p>
    <w:p>
      <w:pPr>
        <w:pStyle w:val="FirstParagraph"/>
      </w:pPr>
      <w:r>
        <w:t xml:space="preserve">ITW's first quarter, reported April 30, set an encouraging tone:</w:t>
      </w:r>
    </w:p>
    <w:p>
      <w:pPr>
        <w:pStyle w:val="Compact"/>
        <w:numPr>
          <w:ilvl w:val="0"/>
          <w:numId w:val="1002"/>
        </w:numPr>
      </w:pPr>
      <w:r>
        <w:t xml:space="preserve">Revenue of $4.02 billion (+4.6% reported, but organic growth was just +0.4%), GAAP EPS of $2.66 (+12% y/y), and operating margin of 25.4% (+60 bps), with enterprise initiatives contributing 120 bps.</w:t>
      </w:r>
    </w:p>
    <w:p>
      <w:pPr>
        <w:pStyle w:val="Compact"/>
        <w:numPr>
          <w:ilvl w:val="0"/>
          <w:numId w:val="1002"/>
        </w:numPr>
      </w:pPr>
      <w:r>
        <w:t xml:space="preserve">Management</w:t>
      </w:r>
      <w:r>
        <w:t xml:space="preserve"> </w:t>
      </w:r>
      <w:r>
        <w:rPr>
          <w:b/>
          <w:bCs/>
        </w:rPr>
        <w:t xml:space="preserve">raised full-year GAAP EPS guidance by $0.10 to</w:t>
      </w:r>
      <w:r>
        <w:rPr>
          <w:b/>
          <w:bCs/>
        </w:rPr>
        <w:t xml:space="preserve"> </w:t>
      </w:r>
      <m:oMath>
        <m:r>
          <m:t>11.10</m:t>
        </m:r>
        <m:r>
          <m:rPr>
            <m:sty m:val="p"/>
          </m:rPr>
          <m:t>–</m:t>
        </m:r>
      </m:oMath>
      <w:r>
        <w:rPr>
          <w:b/>
          <w:bCs/>
        </w:rPr>
        <w:t xml:space="preserve">11.50</w:t>
      </w:r>
      <w:r>
        <w:t xml:space="preserve"> </w:t>
      </w:r>
      <w:r>
        <w:t xml:space="preserve">(8% growth at the midpoint), while holding the full-year organic growth outlook at 1–3% and operating margin guidance at 26.5–27.5% (~100 bps of expansion, again enterprise-initiative-led).</w:t>
      </w:r>
    </w:p>
    <w:p>
      <w:pPr>
        <w:pStyle w:val="Compact"/>
        <w:numPr>
          <w:ilvl w:val="0"/>
          <w:numId w:val="1002"/>
        </w:numPr>
      </w:pPr>
      <w:r>
        <w:t xml:space="preserve">The quarter was a genuine "tale of two markets": CapEx-exposed segments —</w:t>
      </w:r>
      <w:r>
        <w:t xml:space="preserve"> </w:t>
      </w:r>
      <w:r>
        <w:rPr>
          <w:b/>
          <w:bCs/>
        </w:rPr>
        <w:t xml:space="preserve">Welding (+6% organic)</w:t>
      </w:r>
      <w:r>
        <w:t xml:space="preserve"> </w:t>
      </w:r>
      <w:r>
        <w:t xml:space="preserve">and</w:t>
      </w:r>
      <w:r>
        <w:t xml:space="preserve"> </w:t>
      </w:r>
      <w:r>
        <w:rPr>
          <w:b/>
          <w:bCs/>
        </w:rPr>
        <w:t xml:space="preserve">Test &amp; Measurement and Electronics (+5% organic, the best in three years, with semi-related businesses up more than 15%)</w:t>
      </w:r>
      <w:r>
        <w:t xml:space="preserve"> </w:t>
      </w:r>
      <w:r>
        <w:t xml:space="preserve">— showed strengthening order books, while consumer-facing businesses (Automotive OEM, Food Equipment, Construction Products) remained soft but continued to outgrow their underlying end markets.</w:t>
      </w:r>
    </w:p>
    <w:p>
      <w:pPr>
        <w:pStyle w:val="Compact"/>
        <w:numPr>
          <w:ilvl w:val="0"/>
          <w:numId w:val="1002"/>
        </w:numPr>
      </w:pPr>
      <w:r>
        <w:t xml:space="preserve">Management flagged that order rates in Welding and Test &amp; Measurement were running meaningfully ahead of Q1's realized organic growth, and that this upside was</w:t>
      </w:r>
      <w:r>
        <w:t xml:space="preserve"> </w:t>
      </w:r>
      <w:r>
        <w:rPr>
          <w:b/>
          <w:bCs/>
        </w:rPr>
        <w:t xml:space="preserve">not yet baked into guidance</w:t>
      </w:r>
      <w:r>
        <w:t xml:space="preserve"> </w:t>
      </w:r>
      <w:r>
        <w:t xml:space="preserve">— a potential source of Q2 upside.</w:t>
      </w:r>
    </w:p>
    <w:p>
      <w:pPr>
        <w:pStyle w:val="Compact"/>
        <w:numPr>
          <w:ilvl w:val="0"/>
          <w:numId w:val="1002"/>
        </w:numPr>
      </w:pPr>
      <w:r>
        <w:t xml:space="preserve">Food Equipment had a rough January (institutional/education softness) that dragged margins down 190 bps organically, but management said trends improved through February–April and expected Q2 margins to normalize.</w:t>
      </w:r>
    </w:p>
    <w:p>
      <w:pPr>
        <w:pStyle w:val="Compact"/>
        <w:numPr>
          <w:ilvl w:val="0"/>
          <w:numId w:val="1002"/>
        </w:numPr>
      </w:pPr>
      <w:r>
        <w:t xml:space="preserve">Specialty Products organic growth was dented ~3 points by delayed Middle East aerospace shipments and front-loaded product-line-simplification (PLS) activity — both framed as temporary and expected to reverse.</w:t>
      </w:r>
    </w:p>
    <w:p>
      <w:pPr>
        <w:pStyle w:val="Compact"/>
        <w:numPr>
          <w:ilvl w:val="0"/>
          <w:numId w:val="1002"/>
        </w:numPr>
      </w:pPr>
      <w:r>
        <w:t xml:space="preserve">Automotive OEM in China was weak in Q1 (builds down 10%) but management guided to a sharp sequential rebound in Q2 (builds roughly flat, ITW outgrowing by 200–300 bps as usual), aided by double-digit EV growth.</w:t>
      </w:r>
    </w:p>
    <w:p>
      <w:pPr>
        <w:pStyle w:val="Compact"/>
        <w:numPr>
          <w:ilvl w:val="0"/>
          <w:numId w:val="1002"/>
        </w:numPr>
      </w:pPr>
      <w:r>
        <w:t xml:space="preserve">Buybacks:</w:t>
      </w:r>
      <w:r>
        <w:t xml:space="preserve"> </w:t>
      </w:r>
      <m:oMath>
        <m:r>
          <m:t>375</m:t>
        </m:r>
        <m:r>
          <m:t>m</m:t>
        </m:r>
        <m:r>
          <m:t>i</m:t>
        </m:r>
        <m:r>
          <m:t>l</m:t>
        </m:r>
        <m:r>
          <m:t>l</m:t>
        </m:r>
        <m:r>
          <m:t>i</m:t>
        </m:r>
        <m:r>
          <m:t>o</m:t>
        </m:r>
        <m:r>
          <m:t>n</m:t>
        </m:r>
        <m:r>
          <m:t>r</m:t>
        </m:r>
        <m:r>
          <m:t>e</m:t>
        </m:r>
        <m:r>
          <m:t>p</m:t>
        </m:r>
        <m:r>
          <m:t>u</m:t>
        </m:r>
        <m:r>
          <m:t>r</m:t>
        </m:r>
        <m:r>
          <m:t>c</m:t>
        </m:r>
        <m:r>
          <m:t>h</m:t>
        </m:r>
        <m:r>
          <m:t>a</m:t>
        </m:r>
        <m:r>
          <m:t>s</m:t>
        </m:r>
        <m:r>
          <m:t>e</m:t>
        </m:r>
        <m:r>
          <m:t>d</m:t>
        </m:r>
        <m:r>
          <m:t>i</m:t>
        </m:r>
        <m:r>
          <m:t>n</m:t>
        </m:r>
        <m:r>
          <m:t>Q</m:t>
        </m:r>
        <m:r>
          <m:t>1</m:t>
        </m:r>
        <m:r>
          <m:rPr>
            <m:sty m:val="p"/>
          </m:rPr>
          <m:t>,</m:t>
        </m:r>
        <m:r>
          <m:t>o</m:t>
        </m:r>
        <m:r>
          <m:t>n</m:t>
        </m:r>
        <m:r>
          <m:t>p</m:t>
        </m:r>
        <m:r>
          <m:t>a</m:t>
        </m:r>
        <m:r>
          <m:t>c</m:t>
        </m:r>
        <m:r>
          <m:t>e</m:t>
        </m:r>
        <m:r>
          <m:t>f</m:t>
        </m:r>
        <m:r>
          <m:t>o</m:t>
        </m:r>
        <m:r>
          <m:t>r</m:t>
        </m:r>
        <m:r>
          <m:t>t</m:t>
        </m:r>
        <m:r>
          <m:t>h</m:t>
        </m:r>
        <m:r>
          <m:t>e</m:t>
        </m:r>
        <m:r>
          <m:t> </m:t>
        </m:r>
      </m:oMath>
      <w:r>
        <w:t xml:space="preserve">1.5 billion full-year target.</w:t>
      </w:r>
    </w:p>
    <w:bookmarkEnd w:id="11"/>
    <w:bookmarkStart w:id="12" w:name="key-things-to-watch-in-the-q2-print"/>
    <w:p>
      <w:pPr>
        <w:pStyle w:val="Heading2"/>
      </w:pPr>
      <w:r>
        <w:t xml:space="preserve">Key Things to Watch in the Q2 Print</w:t>
      </w:r>
    </w:p>
    <w:p>
      <w:pPr>
        <w:pStyle w:val="Compact"/>
        <w:numPr>
          <w:ilvl w:val="0"/>
          <w:numId w:val="1003"/>
        </w:numPr>
      </w:pPr>
      <w:r>
        <w:rPr>
          <w:b/>
          <w:bCs/>
        </w:rPr>
        <w:t xml:space="preserve">Did the CapEx-cycle recovery accelerate?</w:t>
      </w:r>
      <w:r>
        <w:t xml:space="preserve"> </w:t>
      </w:r>
      <w:r>
        <w:t xml:space="preserve">Welding and Test &amp; Measurement/Electronics (especially semiconductor-related revenue) were the standout growth engines in Q1, with order rates said to be running ahead of realized growth. Confirmation of continued acceleration here — and whether management now flows some of that order strength into guidance — would be the single biggest positive catalyst.</w:t>
      </w:r>
    </w:p>
    <w:p>
      <w:pPr>
        <w:pStyle w:val="Compact"/>
        <w:numPr>
          <w:ilvl w:val="0"/>
          <w:numId w:val="1003"/>
        </w:numPr>
      </w:pPr>
      <w:r>
        <w:rPr>
          <w:b/>
          <w:bCs/>
        </w:rPr>
        <w:t xml:space="preserve">Food Equipment normalization.</w:t>
      </w:r>
      <w:r>
        <w:t xml:space="preserve"> </w:t>
      </w:r>
      <w:r>
        <w:t xml:space="preserve">Management called the Q1 margin dip an "isolated" January issue tied to institutional/education demand, expecting improvement through Q2. A rebound in North America institutional demand and Food Equipment margins back toward segment norms (Food Equipment ran ~24.7% margin in Q1, below its typical run-rate) is a key swing factor.</w:t>
      </w:r>
    </w:p>
    <w:p>
      <w:pPr>
        <w:pStyle w:val="Compact"/>
        <w:numPr>
          <w:ilvl w:val="0"/>
          <w:numId w:val="1003"/>
        </w:numPr>
      </w:pPr>
      <w:r>
        <w:rPr>
          <w:b/>
          <w:bCs/>
        </w:rPr>
        <w:t xml:space="preserve">China auto rebound.</w:t>
      </w:r>
      <w:r>
        <w:t xml:space="preserve"> </w:t>
      </w:r>
      <w:r>
        <w:t xml:space="preserve">Guidance calls for a "pretty meaningful ramp" in Automotive OEM from Q1 to Q2, including low-to-mid-single-digit sequential organic growth and 100+ bps of sequential margin improvement — a real test of whether China builds and EV exposure play out as expected.</w:t>
      </w:r>
    </w:p>
    <w:p>
      <w:pPr>
        <w:pStyle w:val="Compact"/>
        <w:numPr>
          <w:ilvl w:val="0"/>
          <w:numId w:val="1003"/>
        </w:numPr>
      </w:pPr>
      <w:r>
        <w:rPr>
          <w:b/>
          <w:bCs/>
        </w:rPr>
        <w:t xml:space="preserve">Specialty Products catch-up.</w:t>
      </w:r>
      <w:r>
        <w:t xml:space="preserve"> </w:t>
      </w:r>
      <w:r>
        <w:t xml:space="preserve">Delayed Middle East aerospace shipments (~$100 million/year exposure, &lt;1% of total sales) were expected to normalize; watch for confirmation that backlog is converting to revenue.</w:t>
      </w:r>
    </w:p>
    <w:p>
      <w:pPr>
        <w:pStyle w:val="Compact"/>
        <w:numPr>
          <w:ilvl w:val="0"/>
          <w:numId w:val="1003"/>
        </w:numPr>
      </w:pPr>
      <w:r>
        <w:rPr>
          <w:b/>
          <w:bCs/>
        </w:rPr>
        <w:t xml:space="preserve">Margin cadence.</w:t>
      </w:r>
      <w:r>
        <w:t xml:space="preserve"> </w:t>
      </w:r>
      <w:r>
        <w:t xml:space="preserve">Management guided to &gt;100 bps of sequential operating margin improvement from Q1's 25.4% into the ~26.5–27% range in Q2, with incremental margins improving toward the guided mid-to-high 40s% for the year. Any shortfall here, especially amid a slightly firmer price/cost stance flagged for Q2–Q4, would be scrutinized.</w:t>
      </w:r>
    </w:p>
    <w:p>
      <w:pPr>
        <w:pStyle w:val="Compact"/>
        <w:numPr>
          <w:ilvl w:val="0"/>
          <w:numId w:val="1003"/>
        </w:numPr>
      </w:pPr>
      <w:r>
        <w:rPr>
          <w:b/>
          <w:bCs/>
        </w:rPr>
        <w:t xml:space="preserve">Full-year guidance framing.</w:t>
      </w:r>
      <w:r>
        <w:t xml:space="preserve"> </w:t>
      </w:r>
      <w:r>
        <w:t xml:space="preserve">With a 48/52 first-half/second-half EPS split guided (less back-half loaded than 2025), Q2 essentially needs to deliver about 25% of full-year EPS. Commentary on whether the top end of the 1–3% organic growth range (management noted trending toward the "high end" in April) remains achievable will matter for full-year credibility.</w:t>
      </w:r>
    </w:p>
    <w:p>
      <w:pPr>
        <w:pStyle w:val="Compact"/>
        <w:numPr>
          <w:ilvl w:val="0"/>
          <w:numId w:val="1003"/>
        </w:numPr>
      </w:pPr>
      <w:r>
        <w:rPr>
          <w:b/>
          <w:bCs/>
        </w:rPr>
        <w:t xml:space="preserve">Tariffs/price-cost.</w:t>
      </w:r>
      <w:r>
        <w:t xml:space="preserve"> </w:t>
      </w:r>
      <w:r>
        <w:t xml:space="preserve">Management has stated it doesn't expect to pursue tariff refunds given its "produce where we sell" model and ability to price for tariff costs — watch for any updates given ongoing trade-policy noise and the modestly higher pricing actions flagged to phase in through Q2–Q4.</w:t>
      </w:r>
    </w:p>
    <w:p>
      <w:pPr>
        <w:pStyle w:val="Compact"/>
        <w:numPr>
          <w:ilvl w:val="0"/>
          <w:numId w:val="1003"/>
        </w:numPr>
      </w:pPr>
      <w:r>
        <w:rPr>
          <w:b/>
          <w:bCs/>
        </w:rPr>
        <w:t xml:space="preserve">Buybacks/capital return</w:t>
      </w:r>
      <w:r>
        <w:t xml:space="preserve"> </w:t>
      </w:r>
      <w:r>
        <w:t xml:space="preserve">pace toward the ~$1.5 billion full-year target and any dividend commentary.</w:t>
      </w:r>
    </w:p>
    <w:bookmarkEnd w:id="12"/>
    <w:bookmarkStart w:id="13" w:name="peer-read-throughs"/>
    <w:p>
      <w:pPr>
        <w:pStyle w:val="Heading2"/>
      </w:pPr>
      <w:r>
        <w:t xml:space="preserve">Peer Read-Throughs</w:t>
      </w:r>
    </w:p>
    <w:p>
      <w:pPr>
        <w:pStyle w:val="FirstParagraph"/>
      </w:pPr>
      <w:r>
        <w:t xml:space="preserve">Early industrial reporters offer mixed signals: GE Aerospace delivered year-on-year revenue growth of 24.5%, beating analysts' expectations by 6%, while 3M reported revenues up 5.6%, topping estimates by 1.5%, though GE Aerospace traded down 3.2% following results while 3M was up 7.3% — a reminder that even solid beats haven't guaranteed positive stock reactions this earnings season. More broadly, the industrials sector itself has been running hot, trading at a premium multiple as investors reward AI-infrastructure and power-related capex exposure — a dynamic ITW only partially participates in (mainly via Test &amp; Measurement/Electronics semi exposure), which may explain part of the valuation gap between ITW and higher-growth industrial peers.</w:t>
      </w:r>
    </w:p>
    <w:bookmarkEnd w:id="13"/>
    <w:bookmarkStart w:id="14" w:name="valuation-backdrop"/>
    <w:p>
      <w:pPr>
        <w:pStyle w:val="Heading2"/>
      </w:pPr>
      <w:r>
        <w:t xml:space="preserve">Valuation Backdrop</w:t>
      </w:r>
    </w:p>
    <w:p>
      <w:pPr>
        <w:pStyle w:val="FirstParagraph"/>
      </w:pPr>
      <w:r>
        <w:t xml:space="preserve">ITW trades at a premium multiple (~25x+ earnings), which one recent analysis reflects solid operational execution and market position, though elevated valuation multiples present some risk, adding that the stock's P/E ratio and price-to-sales ratio indicate the market has priced in expectations for continued growth. With the stock near highs and Street sentiment capped at "Hold," the bar for a re-rating likely requires either a raise to full-year organic growth guidance (beyond the current 1–3%) or clear signs that the Welding/Test &amp; Measurement order strength is durable and broadening.</w:t>
      </w:r>
    </w:p>
    <w:bookmarkEnd w:id="14"/>
    <w:bookmarkStart w:id="15" w:name="bottom-line"/>
    <w:p>
      <w:pPr>
        <w:pStyle w:val="Heading2"/>
      </w:pPr>
      <w:r>
        <w:t xml:space="preserve">Bottom Line</w:t>
      </w:r>
    </w:p>
    <w:p>
      <w:pPr>
        <w:pStyle w:val="FirstParagraph"/>
      </w:pPr>
      <w:r>
        <w:t xml:space="preserve">Going into Wednesday's report, ITW looks well-positioned to deliver another EPS beat consistent with its recent track record, powered by margin execution (enterprise initiatives) rather than blockbuster top-line growth. The key debate for investors isn't whether ITW "beats" — it almost always does on EPS — but whether (a) the CapEx-driven recovery in Welding and Test &amp; Measurement/Electronics is broadening and sustainable enough to lift full-year organic growth guidance, (b) Food Equipment and Automotive OEM show the sequential improvement management promised, and (c) the stock's premium valuation and recent run-up leave room for upside even on a clean beat-and-raise, given a Street that remains skeptical despite strong fundamental execution.</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2026-07-28T00:53:38Z</dcterms:created>
  <dcterms:modified xsi:type="dcterms:W3CDTF">2026-07-28T00:53:38Z</dcterms:modified>
</cp:coreProperties>
</file>

<file path=docProps/custom.xml><?xml version="1.0" encoding="utf-8"?>
<Properties xmlns="http://schemas.openxmlformats.org/officeDocument/2006/custom-properties" xmlns:vt="http://schemas.openxmlformats.org/officeDocument/2006/docPropsVTypes"/>
</file>