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itw-q2-2026-earnings-preview"/>
    <w:p>
      <w:pPr>
        <w:pStyle w:val="Heading1"/>
      </w:pPr>
      <w:r>
        <w:t xml:space="preserve">ITW Q2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ITW is scheduled to release results</w:t>
      </w:r>
      <w:r>
        <w:t xml:space="preserve"> </w:t>
      </w:r>
      <w:r>
        <w:rPr>
          <w:b/>
          <w:bCs/>
        </w:rPr>
        <w:t xml:space="preserve">today, Tuesday, July 28, 2026</w:t>
      </w:r>
      <w:r>
        <w:t xml:space="preserve">, at</w:t>
      </w:r>
      <w:r>
        <w:t xml:space="preserve"> </w:t>
      </w:r>
      <w:r>
        <w:rPr>
          <w:b/>
          <w:bCs/>
        </w:rPr>
        <w:t xml:space="preserve">7:00 a.m. CDT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9:00 a.m. CDT—not tomorrow</w:t>
      </w:r>
      <w:r>
        <w:t xml:space="preserve">. (</w:t>
      </w:r>
      <w:hyperlink r:id="rId9">
        <w:r>
          <w:rPr>
            <w:rStyle w:val="Hyperlink"/>
          </w:rPr>
          <w:t xml:space="preserve">globenewswire.com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central question is not whether Illinois Tool Works can deliver another modest EPS beat. It is whether strengthening industrial and semiconductor-related demand is translating into</w:t>
      </w:r>
      <w:r>
        <w:t xml:space="preserve"> </w:t>
      </w:r>
      <w:r>
        <w:rPr>
          <w:b/>
          <w:bCs/>
        </w:rPr>
        <w:t xml:space="preserve">meaningful organic growth and operating leverage</w:t>
      </w:r>
      <w:r>
        <w:t xml:space="preserve">.</w:t>
      </w:r>
    </w:p>
    <w:p>
      <w:pPr>
        <w:pStyle w:val="BodyText"/>
      </w:pPr>
      <w:r>
        <w:t xml:space="preserve">The setup is constructive:</w:t>
      </w:r>
    </w:p>
    <w:p>
      <w:pPr>
        <w:pStyle w:val="Compact"/>
        <w:numPr>
          <w:ilvl w:val="0"/>
          <w:numId w:val="1001"/>
        </w:numPr>
      </w:pPr>
      <w:r>
        <w:t xml:space="preserve">Welding and Test &amp; Measurement and Electronics entered Q2 with strong orders.</w:t>
      </w:r>
    </w:p>
    <w:p>
      <w:pPr>
        <w:pStyle w:val="Compact"/>
        <w:numPr>
          <w:ilvl w:val="0"/>
          <w:numId w:val="1001"/>
        </w:numPr>
      </w:pPr>
      <w:r>
        <w:t xml:space="preserve">Automotive should benefit from better production trends in China.</w:t>
      </w:r>
    </w:p>
    <w:p>
      <w:pPr>
        <w:pStyle w:val="Compact"/>
        <w:numPr>
          <w:ilvl w:val="0"/>
          <w:numId w:val="1001"/>
        </w:numPr>
      </w:pPr>
      <w:r>
        <w:t xml:space="preserve">Food Equipment and Specialty Products face relatively easy sequential comparisons.</w:t>
      </w:r>
    </w:p>
    <w:p>
      <w:pPr>
        <w:pStyle w:val="Compact"/>
        <w:numPr>
          <w:ilvl w:val="0"/>
          <w:numId w:val="1001"/>
        </w:numPr>
      </w:pPr>
      <w:r>
        <w:t xml:space="preserve">Enterprise initiatives should continue supporting margins independent of volume.</w:t>
      </w:r>
    </w:p>
    <w:p>
      <w:pPr>
        <w:pStyle w:val="FirstParagraph"/>
      </w:pPr>
      <w:r>
        <w:t xml:space="preserve">Expectations, however, have risen. ITW closed July 27 at</w:t>
      </w:r>
      <w:r>
        <w:t xml:space="preserve"> </w:t>
      </w:r>
      <w:r>
        <w:rPr>
          <w:b/>
          <w:bCs/>
        </w:rPr>
        <w:t xml:space="preserve">$284.86</w:t>
      </w:r>
      <w:r>
        <w:t xml:space="preserve">, approximately</w:t>
      </w:r>
      <w:r>
        <w:t xml:space="preserve"> </w:t>
      </w:r>
      <w:r>
        <w:rPr>
          <w:b/>
          <w:bCs/>
        </w:rPr>
        <w:t xml:space="preserve">25.2 times</w:t>
      </w:r>
      <w:r>
        <w:t xml:space="preserve"> </w:t>
      </w:r>
      <w:r>
        <w:t xml:space="preserve">the midpoint of management’s current 2026 EPS guidance. The shares have gained roughly 14% year to date and 10% since the Q1 report. A routine beat paired with unchanged guidance may therefore be insufficient; investors will likely want evidence that organic growth is accelerating toward the upper half of the annual range.</w:t>
      </w:r>
    </w:p>
    <w:bookmarkEnd w:id="10"/>
    <w:bookmarkStart w:id="13" w:name="X251b31b0f60ed583465f440439f779da96efd32"/>
    <w:p>
      <w:pPr>
        <w:pStyle w:val="Heading2"/>
      </w:pPr>
      <w:r>
        <w:t xml:space="preserve">Expectations and management’s prior outlook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 / framework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$4.19 billion</w:t>
            </w:r>
            <w:r>
              <w:t xml:space="preserve"> </w:t>
            </w:r>
            <w:r>
              <w:t xml:space="preserve">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$4.05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m:oMath>
              <m:r>
                <m:t>2.79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2.80</w:t>
            </w:r>
            <w:r>
              <w:t xml:space="preserve"> </w:t>
            </w:r>
            <w:r>
              <w:t xml:space="preserve">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$2.58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Likely</w:t>
            </w:r>
            <w:r>
              <w:t xml:space="preserve"> </w:t>
            </w:r>
            <w:r>
              <w:rPr>
                <w:b/>
                <w:bCs/>
              </w:rPr>
              <w:t xml:space="preserve">26.5%–27% area</w:t>
            </w:r>
            <w:r>
              <w:t xml:space="preserve"> </w:t>
            </w:r>
            <w:r>
              <w:t xml:space="preserve">based on management commentary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11.10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11.50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organic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1%–3%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FY2026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26.5%–27.5%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Consensus implies roughly</w:t>
      </w:r>
      <w:r>
        <w:t xml:space="preserve"> </w:t>
      </w:r>
      <w:r>
        <w:rPr>
          <w:b/>
          <w:bCs/>
        </w:rPr>
        <w:t xml:space="preserve">3% revenue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8%–9% EPS growth</w:t>
      </w:r>
      <w:r>
        <w:t xml:space="preserve">. Management’s Q1 cadence comments also pointed toward Q2 EPS of approximately</w:t>
      </w:r>
      <w:r>
        <w:t xml:space="preserve"> </w:t>
      </w:r>
      <m:oMath>
        <m:r>
          <m:t>2.8</m:t>
        </m:r>
        <m:r>
          <m:rPr>
            <m:sty m:val="p"/>
          </m:rPr>
          <m:t>:</m:t>
        </m:r>
        <m:r>
          <m:t>I</m:t>
        </m:r>
        <m:r>
          <m:t>T</m:t>
        </m:r>
        <m:r>
          <m:t>W</m:t>
        </m:r>
        <m:r>
          <m:t>p</m:t>
        </m:r>
        <m:r>
          <m:t>r</m:t>
        </m:r>
        <m:r>
          <m:t>o</m:t>
        </m:r>
        <m:r>
          <m:t>j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48</m:t>
        </m:r>
      </m:oMath>
      <w:r>
        <w:t xml:space="preserve">11.37** sits modestly above management’s $11.30 guidance midpoint, suggesting that at least a small guidance increase is already embedded in expectations.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For comparison, Q2 2025 included $4.05 billion of revenue, essentially flat organic growth, a 26.3% operating margin and $2.58 of EPS. (</w:t>
      </w:r>
      <w:hyperlink r:id="rId12">
        <w:r>
          <w:rPr>
            <w:rStyle w:val="Hyperlink"/>
          </w:rPr>
          <w:t xml:space="preserve">investor.itw.com</w:t>
        </w:r>
      </w:hyperlink>
      <w:r>
        <w:t xml:space="preserve">)</w:t>
      </w:r>
    </w:p>
    <w:bookmarkEnd w:id="13"/>
    <w:bookmarkStart w:id="17" w:name="what-matters-most"/>
    <w:p>
      <w:pPr>
        <w:pStyle w:val="Heading2"/>
      </w:pPr>
      <w:r>
        <w:t xml:space="preserve">What matters most</w:t>
      </w:r>
    </w:p>
    <w:bookmarkStart w:id="15" w:name="Xb43cc0ff2acc8b844e8938336de98862a454e9c"/>
    <w:p>
      <w:pPr>
        <w:pStyle w:val="Heading3"/>
      </w:pPr>
      <w:r>
        <w:t xml:space="preserve">1. The organic-growth inflection</w:t>
      </w:r>
    </w:p>
    <w:p>
      <w:pPr>
        <w:pStyle w:val="FirstParagraph"/>
      </w:pPr>
      <w:r>
        <w:t xml:space="preserve">Q1 revenue increased 4.6%, but only</w:t>
      </w:r>
      <w:r>
        <w:t xml:space="preserve"> </w:t>
      </w:r>
      <w:r>
        <w:rPr>
          <w:b/>
          <w:bCs/>
        </w:rPr>
        <w:t xml:space="preserve">0.4% organically</w:t>
      </w:r>
      <w:r>
        <w:t xml:space="preserve">; currency contributed 3.9 percentage points and an acquisition added 0.3 point. Management nevertheless maintained its 1%–3% full-year organic-growth outlook and said April was trending near the high end of that range. ITW also said order growth in Welding and Test &amp; Measurement was meaningfully above their Q1 sales-growth rates. (</w:t>
      </w:r>
      <w:hyperlink r:id="rId14">
        <w:r>
          <w:rPr>
            <w:rStyle w:val="Hyperlink"/>
          </w:rPr>
          <w:t xml:space="preserve">investor.itw.com</w:t>
        </w:r>
      </w:hyperlink>
      <w:r>
        <w:t xml:space="preserve">)</w:t>
      </w:r>
    </w:p>
    <w:p>
      <w:pPr>
        <w:pStyle w:val="BodyText"/>
      </w:pPr>
      <w:r>
        <w:t xml:space="preserve">That creates a fairly clear Q2 test: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Below 1% organic growth:</w:t>
      </w:r>
      <w:r>
        <w:t xml:space="preserve"> </w:t>
      </w:r>
      <w:r>
        <w:t xml:space="preserve">likely disappointing, particularly given management’s April commentary.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Around 2%:</w:t>
      </w:r>
      <w:r>
        <w:t xml:space="preserve"> </w:t>
      </w:r>
      <w:r>
        <w:t xml:space="preserve">broadly consistent with the annual plan.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3% or better:</w:t>
      </w:r>
      <w:r>
        <w:t xml:space="preserve"> </w:t>
      </w:r>
      <w:r>
        <w:t xml:space="preserve">evidence that the anticipated industrial recovery is becoming visible in reported revenue.</w:t>
      </w:r>
    </w:p>
    <w:p>
      <w:pPr>
        <w:pStyle w:val="FirstParagraph"/>
      </w:pPr>
      <w:r>
        <w:t xml:space="preserve">The quality of growth also matters. Investors should distinguish between volume, price, currency and acquisition contributions. A headline revenue beat driven primarily by currency would be less persuasive than broad-based organic improvement.</w:t>
      </w:r>
    </w:p>
    <w:bookmarkEnd w:id="15"/>
    <w:bookmarkStart w:id="16" w:name="X2f7bbaf22dd66be0f8130d4b3c643f1f339cfb7"/>
    <w:p>
      <w:pPr>
        <w:pStyle w:val="Heading3"/>
      </w:pPr>
      <w:r>
        <w:t xml:space="preserve">2. Margin expansion and operating leverage</w:t>
      </w:r>
    </w:p>
    <w:p>
      <w:pPr>
        <w:pStyle w:val="FirstParagraph"/>
      </w:pPr>
      <w:r>
        <w:t xml:space="preserve">ITW’s investment case remains anchored in its unusually high margins. Q1 operating margin rose 60 basis points to 25.4%, with enterprise initiatives contributing 120 basis points. Management expected:</w:t>
      </w:r>
    </w:p>
    <w:p>
      <w:pPr>
        <w:pStyle w:val="Compact"/>
        <w:numPr>
          <w:ilvl w:val="0"/>
          <w:numId w:val="1003"/>
        </w:numPr>
      </w:pPr>
      <w:r>
        <w:t xml:space="preserve">More than 100 basis points of sequential margin improvement in Q2.</w:t>
      </w:r>
    </w:p>
    <w:p>
      <w:pPr>
        <w:pStyle w:val="Compact"/>
        <w:numPr>
          <w:ilvl w:val="0"/>
          <w:numId w:val="1003"/>
        </w:numPr>
      </w:pPr>
      <w:r>
        <w:t xml:space="preserve">Mid- to high-40% incremental margins for the full year.</w:t>
      </w:r>
    </w:p>
    <w:p>
      <w:pPr>
        <w:pStyle w:val="Compact"/>
        <w:numPr>
          <w:ilvl w:val="0"/>
          <w:numId w:val="1003"/>
        </w:numPr>
      </w:pPr>
      <w:r>
        <w:t xml:space="preserve">Approximately 100 basis points of annual operating-margin expansion.</w:t>
      </w:r>
    </w:p>
    <w:p>
      <w:pPr>
        <w:pStyle w:val="Compact"/>
        <w:numPr>
          <w:ilvl w:val="0"/>
          <w:numId w:val="1003"/>
        </w:numPr>
      </w:pPr>
      <w:r>
        <w:t xml:space="preserve">Sequential margin improvement across all seven segments.</w:t>
      </w:r>
    </w:p>
    <w:p>
      <w:pPr>
        <w:pStyle w:val="FirstParagraph"/>
      </w:pPr>
      <w:r>
        <w:t xml:space="preserve">The likely Q2 hurdle is therefore approximately</w:t>
      </w:r>
      <w:r>
        <w:t xml:space="preserve"> </w:t>
      </w:r>
      <w:r>
        <w:rPr>
          <w:b/>
          <w:bCs/>
        </w:rPr>
        <w:t xml:space="preserve">26.5%–27%</w:t>
      </w:r>
      <w:r>
        <w:t xml:space="preserve">. A result near or above 27% would demonstrate that higher industrial volume, price realization and enterprise initiatives are overcoming wage and other cost inflation. A result below 26.5% would raise questions about mix, cost pressure or the speed of the Food Equipment recovery.</w:t>
      </w:r>
    </w:p>
    <w:p>
      <w:pPr>
        <w:pStyle w:val="BodyText"/>
      </w:pPr>
      <w:r>
        <w:t xml:space="preserve">Investors should also examine the components. Margin gains driven by sustainable sourcing, 80/20 execution and volume leverage deserve a higher valuation than gains driven by restructuring timing or below-the-line items.</w:t>
      </w:r>
    </w:p>
    <w:bookmarkEnd w:id="16"/>
    <w:bookmarkEnd w:id="17"/>
    <w:bookmarkStart w:id="24" w:name="segment-scorecard"/>
    <w:p>
      <w:pPr>
        <w:pStyle w:val="Heading2"/>
      </w:pPr>
      <w:r>
        <w:t xml:space="preserve">Segment scorecard</w:t>
      </w:r>
    </w:p>
    <w:bookmarkStart w:id="18" w:name="Xd91981a4f21b06fda0ddcbfcd1ed6e57a928ea9"/>
    <w:p>
      <w:pPr>
        <w:pStyle w:val="Heading3"/>
      </w:pPr>
      <w:r>
        <w:t xml:space="preserve">Test &amp; Measurement and Electronics: likely the largest positive catalyst</w:t>
      </w:r>
    </w:p>
    <w:p>
      <w:pPr>
        <w:pStyle w:val="FirstParagraph"/>
      </w:pPr>
      <w:r>
        <w:t xml:space="preserve">This segment produced Q1 organic growth of 4.6%, including:</w:t>
      </w:r>
    </w:p>
    <w:p>
      <w:pPr>
        <w:pStyle w:val="Compact"/>
        <w:numPr>
          <w:ilvl w:val="0"/>
          <w:numId w:val="1004"/>
        </w:numPr>
      </w:pPr>
      <w:r>
        <w:t xml:space="preserve">Electronics growth of 10.3%.</w:t>
      </w:r>
    </w:p>
    <w:p>
      <w:pPr>
        <w:pStyle w:val="Compact"/>
        <w:numPr>
          <w:ilvl w:val="0"/>
          <w:numId w:val="1004"/>
        </w:numPr>
      </w:pPr>
      <w:r>
        <w:t xml:space="preserve">Electronics assembly growth of 24.7%.</w:t>
      </w:r>
    </w:p>
    <w:p>
      <w:pPr>
        <w:pStyle w:val="Compact"/>
        <w:numPr>
          <w:ilvl w:val="0"/>
          <w:numId w:val="1004"/>
        </w:numPr>
      </w:pPr>
      <w:r>
        <w:t xml:space="preserve">Strong semiconductor demand in North America and Asia.</w:t>
      </w:r>
    </w:p>
    <w:p>
      <w:pPr>
        <w:pStyle w:val="Compact"/>
        <w:numPr>
          <w:ilvl w:val="0"/>
          <w:numId w:val="1004"/>
        </w:numPr>
      </w:pPr>
      <w:r>
        <w:t xml:space="preserve">A 150-basis-point margin increase to 22.9%, despite acquisition dilution.</w:t>
      </w:r>
    </w:p>
    <w:p>
      <w:pPr>
        <w:pStyle w:val="FirstParagraph"/>
      </w:pPr>
      <w:r>
        <w:t xml:space="preserve">Management characterized the semiconductor recovery as increasingly sustainable and noted strong orders, rising fab utilization and favorable customer response to new products.</w:t>
      </w:r>
    </w:p>
    <w:p>
      <w:pPr>
        <w:pStyle w:val="BodyText"/>
      </w:pPr>
      <w:r>
        <w:rPr>
          <w:b/>
          <w:bCs/>
        </w:rPr>
        <w:t xml:space="preserve">What to watch:</w:t>
      </w:r>
    </w:p>
    <w:p>
      <w:pPr>
        <w:pStyle w:val="Compact"/>
        <w:numPr>
          <w:ilvl w:val="0"/>
          <w:numId w:val="1005"/>
        </w:numPr>
      </w:pPr>
      <w:r>
        <w:t xml:space="preserve">Whether organic growth accelerates beyond Q1’s 4.6%.</w:t>
      </w:r>
    </w:p>
    <w:p>
      <w:pPr>
        <w:pStyle w:val="Compact"/>
        <w:numPr>
          <w:ilvl w:val="0"/>
          <w:numId w:val="1005"/>
        </w:numPr>
      </w:pPr>
      <w:r>
        <w:t xml:space="preserve">Continued double-digit semiconductor-related growth.</w:t>
      </w:r>
    </w:p>
    <w:p>
      <w:pPr>
        <w:pStyle w:val="Compact"/>
        <w:numPr>
          <w:ilvl w:val="0"/>
          <w:numId w:val="1005"/>
        </w:numPr>
      </w:pPr>
      <w:r>
        <w:t xml:space="preserve">Operating leverage as volume improves.</w:t>
      </w:r>
    </w:p>
    <w:p>
      <w:pPr>
        <w:pStyle w:val="Compact"/>
        <w:numPr>
          <w:ilvl w:val="0"/>
          <w:numId w:val="1005"/>
        </w:numPr>
      </w:pPr>
      <w:r>
        <w:t xml:space="preserve">Progress offsetting the acquired business’s margin dilution.</w:t>
      </w:r>
    </w:p>
    <w:p>
      <w:pPr>
        <w:pStyle w:val="FirstParagraph"/>
      </w:pPr>
      <w:r>
        <w:t xml:space="preserve">A high-single-digit organic result with meaningful margin expansion would strengthen the argument that this segment has entered a multiquarter recovery.</w:t>
      </w:r>
    </w:p>
    <w:bookmarkEnd w:id="18"/>
    <w:bookmarkStart w:id="19" w:name="Xca85b677fc49ab5e847b872102c85207866cc6e"/>
    <w:p>
      <w:pPr>
        <w:pStyle w:val="Heading3"/>
      </w:pPr>
      <w:r>
        <w:t xml:space="preserve">Welding: strong demand, but margin expectations are high</w:t>
      </w:r>
    </w:p>
    <w:p>
      <w:pPr>
        <w:pStyle w:val="FirstParagraph"/>
      </w:pPr>
      <w:r>
        <w:t xml:space="preserve">Welding was the strongest broad-based industrial business in Q1:</w:t>
      </w:r>
    </w:p>
    <w:p>
      <w:pPr>
        <w:pStyle w:val="Compact"/>
        <w:numPr>
          <w:ilvl w:val="0"/>
          <w:numId w:val="1006"/>
        </w:numPr>
      </w:pPr>
      <w:r>
        <w:t xml:space="preserve">Organic growth of 6%.</w:t>
      </w:r>
    </w:p>
    <w:p>
      <w:pPr>
        <w:pStyle w:val="Compact"/>
        <w:numPr>
          <w:ilvl w:val="0"/>
          <w:numId w:val="1006"/>
        </w:numPr>
      </w:pPr>
      <w:r>
        <w:t xml:space="preserve">Equipment growth of 8%.</w:t>
      </w:r>
    </w:p>
    <w:p>
      <w:pPr>
        <w:pStyle w:val="Compact"/>
        <w:numPr>
          <w:ilvl w:val="0"/>
          <w:numId w:val="1006"/>
        </w:numPr>
      </w:pPr>
      <w:r>
        <w:t xml:space="preserve">North American organic growth above 8%.</w:t>
      </w:r>
    </w:p>
    <w:p>
      <w:pPr>
        <w:pStyle w:val="Compact"/>
        <w:numPr>
          <w:ilvl w:val="0"/>
          <w:numId w:val="1006"/>
        </w:numPr>
      </w:pPr>
      <w:r>
        <w:t xml:space="preserve">Strength across both industrial and commercial customers.</w:t>
      </w:r>
    </w:p>
    <w:p>
      <w:pPr>
        <w:pStyle w:val="Compact"/>
        <w:numPr>
          <w:ilvl w:val="0"/>
          <w:numId w:val="1006"/>
        </w:numPr>
      </w:pPr>
      <w:r>
        <w:t xml:space="preserve">Operating margin of 32.1%.</w:t>
      </w:r>
    </w:p>
    <w:p>
      <w:pPr>
        <w:pStyle w:val="FirstParagraph"/>
      </w:pPr>
      <w:r>
        <w:t xml:space="preserve">Management said Q2 orders were running above Q1’s reported growth rate. That points to another strong quarter, though the 32%-plus margin base limits the scope for dramatic expansion.</w:t>
      </w:r>
    </w:p>
    <w:p>
      <w:pPr>
        <w:pStyle w:val="BodyText"/>
      </w:pPr>
      <w:r>
        <w:t xml:space="preserve">The best result would be</w:t>
      </w:r>
      <w:r>
        <w:t xml:space="preserve"> </w:t>
      </w:r>
      <w:r>
        <w:rPr>
          <w:b/>
          <w:bCs/>
        </w:rPr>
        <w:t xml:space="preserve">continued mid- to high-single-digit organic growth with stable or modestly higher margins</w:t>
      </w:r>
      <w:r>
        <w:t xml:space="preserve">. Investors are unlikely to penalize limited margin expansion if growth remains strong and the new-product contribution is healthy.</w:t>
      </w:r>
    </w:p>
    <w:bookmarkEnd w:id="19"/>
    <w:bookmarkStart w:id="20" w:name="X6692b372c03b19c2040e3fa0b0ec3722491ec06"/>
    <w:p>
      <w:pPr>
        <w:pStyle w:val="Heading3"/>
      </w:pPr>
      <w:r>
        <w:t xml:space="preserve">Automotive OEM: China recovery is the key swing factor</w:t>
      </w:r>
    </w:p>
    <w:p>
      <w:pPr>
        <w:pStyle w:val="FirstParagraph"/>
      </w:pPr>
      <w:r>
        <w:t xml:space="preserve">Q1 organic revenue declined 0.9%, but ITW outperformed global vehicle production, which fell approximately 3%. China revenue declined only 3.2% against a 10% decline in local builds, helped by market-share gains and electric-vehicle exposure.</w:t>
      </w:r>
    </w:p>
    <w:p>
      <w:pPr>
        <w:pStyle w:val="BodyText"/>
      </w:pPr>
      <w:r>
        <w:t xml:space="preserve">Management expected China builds to improve substantially in Q2 and projected:</w:t>
      </w:r>
    </w:p>
    <w:p>
      <w:pPr>
        <w:pStyle w:val="Compact"/>
        <w:numPr>
          <w:ilvl w:val="0"/>
          <w:numId w:val="1007"/>
        </w:numPr>
      </w:pPr>
      <w:r>
        <w:t xml:space="preserve">Low- to mid-single-digit sequential Automotive revenue growth.</w:t>
      </w:r>
    </w:p>
    <w:p>
      <w:pPr>
        <w:pStyle w:val="Compact"/>
        <w:numPr>
          <w:ilvl w:val="0"/>
          <w:numId w:val="1007"/>
        </w:numPr>
      </w:pPr>
      <w:r>
        <w:t xml:space="preserve">More than 100 basis points of sequential margin expansion.</w:t>
      </w:r>
    </w:p>
    <w:p>
      <w:pPr>
        <w:pStyle w:val="Compact"/>
        <w:numPr>
          <w:ilvl w:val="0"/>
          <w:numId w:val="1007"/>
        </w:numPr>
      </w:pPr>
      <w:r>
        <w:t xml:space="preserve">Continued 200–300 basis points of outperformance versus global builds.</w:t>
      </w:r>
    </w:p>
    <w:p>
      <w:pPr>
        <w:pStyle w:val="FirstParagraph"/>
      </w:pPr>
      <w:r>
        <w:t xml:space="preserve">A return to positive organic growth would be encouraging. More important is whether ITW is sustaining its market outgrowth as production shifts toward Chinese EV manufacturers and away from foreign brands.</w:t>
      </w:r>
    </w:p>
    <w:bookmarkEnd w:id="20"/>
    <w:bookmarkStart w:id="21" w:name="Xf77953faceed134549c985119bc3eacdc3643b6"/>
    <w:p>
      <w:pPr>
        <w:pStyle w:val="Heading3"/>
      </w:pPr>
      <w:r>
        <w:t xml:space="preserve">Food Equipment: the most important repair story</w:t>
      </w:r>
    </w:p>
    <w:p>
      <w:pPr>
        <w:pStyle w:val="FirstParagraph"/>
      </w:pPr>
      <w:r>
        <w:t xml:space="preserve">Food Equipment was Q1’s principal disappointment:</w:t>
      </w:r>
    </w:p>
    <w:p>
      <w:pPr>
        <w:pStyle w:val="Compact"/>
        <w:numPr>
          <w:ilvl w:val="0"/>
          <w:numId w:val="1008"/>
        </w:numPr>
      </w:pPr>
      <w:r>
        <w:t xml:space="preserve">Organic revenue declined 2.8%.</w:t>
      </w:r>
    </w:p>
    <w:p>
      <w:pPr>
        <w:pStyle w:val="Compact"/>
        <w:numPr>
          <w:ilvl w:val="0"/>
          <w:numId w:val="1008"/>
        </w:numPr>
      </w:pPr>
      <w:r>
        <w:t xml:space="preserve">Equipment declined 6%.</w:t>
      </w:r>
    </w:p>
    <w:p>
      <w:pPr>
        <w:pStyle w:val="Compact"/>
        <w:numPr>
          <w:ilvl w:val="0"/>
          <w:numId w:val="1008"/>
        </w:numPr>
      </w:pPr>
      <w:r>
        <w:t xml:space="preserve">North American equipment fell approximately 10%.</w:t>
      </w:r>
    </w:p>
    <w:p>
      <w:pPr>
        <w:pStyle w:val="Compact"/>
        <w:numPr>
          <w:ilvl w:val="0"/>
          <w:numId w:val="1008"/>
        </w:numPr>
      </w:pPr>
      <w:r>
        <w:t xml:space="preserve">Operating margin contracted 180 basis points to 24.7%.</w:t>
      </w:r>
    </w:p>
    <w:p>
      <w:pPr>
        <w:pStyle w:val="FirstParagraph"/>
      </w:pPr>
      <w:r>
        <w:t xml:space="preserve">Weak institutional demand—especially education—was the main issue. Service revenue remained resilient, while quick-service restaurant demand benefited from product innovation. Management said conditions improved through February, March and April and expected positive organic growth beginning in Q2.</w:t>
      </w:r>
    </w:p>
    <w:p>
      <w:pPr>
        <w:pStyle w:val="BodyText"/>
      </w:pPr>
      <w:r>
        <w:t xml:space="preserve">This segment does not need spectacular growth to support the stock. It does need to demonstrate that Q1 was temporary.</w:t>
      </w:r>
    </w:p>
    <w:p>
      <w:pPr>
        <w:pStyle w:val="BodyText"/>
      </w:pPr>
      <w:r>
        <w:rPr>
          <w:b/>
          <w:bCs/>
        </w:rPr>
        <w:t xml:space="preserve">Positive signals would include:</w:t>
      </w:r>
    </w:p>
    <w:p>
      <w:pPr>
        <w:pStyle w:val="Compact"/>
        <w:numPr>
          <w:ilvl w:val="0"/>
          <w:numId w:val="1009"/>
        </w:numPr>
      </w:pPr>
      <w:r>
        <w:t xml:space="preserve">Organic growth returning to positive territory.</w:t>
      </w:r>
    </w:p>
    <w:p>
      <w:pPr>
        <w:pStyle w:val="Compact"/>
        <w:numPr>
          <w:ilvl w:val="0"/>
          <w:numId w:val="1009"/>
        </w:numPr>
      </w:pPr>
      <w:r>
        <w:t xml:space="preserve">North American institutional orders improving.</w:t>
      </w:r>
    </w:p>
    <w:p>
      <w:pPr>
        <w:pStyle w:val="Compact"/>
        <w:numPr>
          <w:ilvl w:val="0"/>
          <w:numId w:val="1009"/>
        </w:numPr>
      </w:pPr>
      <w:r>
        <w:t xml:space="preserve">Service maintaining approximately mid-single-digit growth.</w:t>
      </w:r>
    </w:p>
    <w:p>
      <w:pPr>
        <w:pStyle w:val="Compact"/>
        <w:numPr>
          <w:ilvl w:val="0"/>
          <w:numId w:val="1009"/>
        </w:numPr>
      </w:pPr>
      <w:r>
        <w:t xml:space="preserve">Margin recovering materially from 24.7%, ideally back toward 26% or better.</w:t>
      </w:r>
    </w:p>
    <w:p>
      <w:pPr>
        <w:pStyle w:val="FirstParagraph"/>
      </w:pPr>
      <w:r>
        <w:t xml:space="preserve">Another negative-growth quarter or limited margin recovery would weaken confidence in the full-year promise that every segment will grow and expand margins.</w:t>
      </w:r>
    </w:p>
    <w:bookmarkEnd w:id="21"/>
    <w:bookmarkStart w:id="22" w:name="Xc3260096bc13e3466f4a31c9884736df5c486aa"/>
    <w:p>
      <w:pPr>
        <w:pStyle w:val="Heading3"/>
      </w:pPr>
      <w:r>
        <w:t xml:space="preserve">Specialty Products: backlog conversion versus PLS</w:t>
      </w:r>
    </w:p>
    <w:p>
      <w:pPr>
        <w:pStyle w:val="FirstParagraph"/>
      </w:pPr>
      <w:r>
        <w:t xml:space="preserve">Specialty Products’ Q1 organic revenue declined 4.7%. Product-line simplification reduced growth by approximately two percentage points, while Middle East aerospace-related sales were delayed despite significant orders and backlog.</w:t>
      </w:r>
    </w:p>
    <w:p>
      <w:pPr>
        <w:pStyle w:val="BodyText"/>
      </w:pPr>
      <w:r>
        <w:t xml:space="preserve">Management described both pressures as relatively front-loaded and expected the segment to improve over the balance of the year.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10"/>
        </w:numPr>
      </w:pPr>
      <w:r>
        <w:t xml:space="preserve">Better equipment shipments and conversion of delayed aerospace backlog.</w:t>
      </w:r>
    </w:p>
    <w:p>
      <w:pPr>
        <w:pStyle w:val="Compact"/>
        <w:numPr>
          <w:ilvl w:val="0"/>
          <w:numId w:val="1010"/>
        </w:numPr>
      </w:pPr>
      <w:r>
        <w:t xml:space="preserve">A smaller PLS drag.</w:t>
      </w:r>
    </w:p>
    <w:p>
      <w:pPr>
        <w:pStyle w:val="Compact"/>
        <w:numPr>
          <w:ilvl w:val="0"/>
          <w:numId w:val="1010"/>
        </w:numPr>
      </w:pPr>
      <w:r>
        <w:t xml:space="preserve">Continued strength in medical applications.</w:t>
      </w:r>
    </w:p>
    <w:p>
      <w:pPr>
        <w:pStyle w:val="Compact"/>
        <w:numPr>
          <w:ilvl w:val="0"/>
          <w:numId w:val="1010"/>
        </w:numPr>
      </w:pPr>
      <w:r>
        <w:t xml:space="preserve">Maintenance of the segment’s approximately 31% margin despite weak volume.</w:t>
      </w:r>
    </w:p>
    <w:p>
      <w:pPr>
        <w:pStyle w:val="FirstParagraph"/>
      </w:pPr>
      <w:r>
        <w:t xml:space="preserve">A return to positive organic growth would provide meaningful support for the companywide acceleration narrative.</w:t>
      </w:r>
    </w:p>
    <w:bookmarkEnd w:id="22"/>
    <w:bookmarkStart w:id="23" w:name="X1fae1c37b5f7a9741063279cd8e3ae94a98fc2b"/>
    <w:p>
      <w:pPr>
        <w:pStyle w:val="Heading3"/>
      </w:pPr>
      <w:r>
        <w:t xml:space="preserve">Construction Products and Polymers &amp; Fluids</w:t>
      </w:r>
    </w:p>
    <w:p>
      <w:pPr>
        <w:pStyle w:val="FirstParagraph"/>
      </w:pPr>
      <w:r>
        <w:t xml:space="preserve">These should be less consequential to the immediate reaction: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Construction Products:</w:t>
      </w:r>
      <w:r>
        <w:t xml:space="preserve"> </w:t>
      </w:r>
      <w:r>
        <w:t xml:space="preserve">Q1 organic revenue declined 1.3%, but North American residential and renovation demand showed tentative stabilization. The segment’s near-30% margin gives ITW flexibility while waiting for housing markets to improve.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Polymers &amp; Fluids:</w:t>
      </w:r>
      <w:r>
        <w:t xml:space="preserve"> </w:t>
      </w:r>
      <w:r>
        <w:t xml:space="preserve">Q1 organic growth was 1.7%, supported by automotive-aftermarket market-share gains, while margin expanded 150 basis points to 28%.</w:t>
      </w:r>
    </w:p>
    <w:p>
      <w:pPr>
        <w:pStyle w:val="FirstParagraph"/>
      </w:pPr>
      <w:r>
        <w:t xml:space="preserve">Stable results would be sufficient. Material deterioration in either would suggest that consumer-facing weakness is offsetting more of the industrial recovery than expected.</w:t>
      </w:r>
    </w:p>
    <w:bookmarkEnd w:id="23"/>
    <w:bookmarkEnd w:id="24"/>
    <w:bookmarkStart w:id="26" w:name="Xae5849beff9c2830795403816ecf0364a6665a9"/>
    <w:p>
      <w:pPr>
        <w:pStyle w:val="Heading2"/>
      </w:pPr>
      <w:r>
        <w:t xml:space="preserve">Guidance: the likely determinant of the stock reaction</w:t>
      </w:r>
    </w:p>
    <w:p>
      <w:pPr>
        <w:pStyle w:val="FirstParagraph"/>
      </w:pPr>
      <w:r>
        <w:t xml:space="preserve">ITW entered the quarter with the following full-year targets:</w:t>
      </w:r>
    </w:p>
    <w:p>
      <w:pPr>
        <w:pStyle w:val="Compact"/>
        <w:numPr>
          <w:ilvl w:val="0"/>
          <w:numId w:val="1012"/>
        </w:numPr>
      </w:pPr>
      <w:r>
        <w:t xml:space="preserve">Revenue growth of 2%–4%.</w:t>
      </w:r>
    </w:p>
    <w:p>
      <w:pPr>
        <w:pStyle w:val="Compact"/>
        <w:numPr>
          <w:ilvl w:val="0"/>
          <w:numId w:val="1012"/>
        </w:numPr>
      </w:pPr>
      <w:r>
        <w:t xml:space="preserve">Organic growth of 1%–3%.</w:t>
      </w:r>
    </w:p>
    <w:p>
      <w:pPr>
        <w:pStyle w:val="Compact"/>
        <w:numPr>
          <w:ilvl w:val="0"/>
          <w:numId w:val="1012"/>
        </w:numPr>
      </w:pPr>
      <w:r>
        <w:t xml:space="preserve">Operating margin of 26.5%–27.5%.</w:t>
      </w:r>
    </w:p>
    <w:p>
      <w:pPr>
        <w:pStyle w:val="Compact"/>
        <w:numPr>
          <w:ilvl w:val="0"/>
          <w:numId w:val="1012"/>
        </w:numPr>
      </w:pPr>
      <w:r>
        <w:t xml:space="preserve">EPS of</w:t>
      </w:r>
      <w:r>
        <w:t xml:space="preserve"> </w:t>
      </w:r>
      <m:oMath>
        <m:r>
          <m:t>11.10</m:t>
        </m:r>
        <m:r>
          <m:rPr>
            <m:sty m:val="p"/>
          </m:rPr>
          <m:t>–</m:t>
        </m:r>
      </m:oMath>
      <w:r>
        <w:t xml:space="preserve">11.50.</w:t>
      </w:r>
    </w:p>
    <w:p>
      <w:pPr>
        <w:pStyle w:val="Compact"/>
        <w:numPr>
          <w:ilvl w:val="0"/>
          <w:numId w:val="1012"/>
        </w:numPr>
      </w:pPr>
      <w:r>
        <w:t xml:space="preserve">Free-cash-flow conversion above 100%.</w:t>
      </w:r>
    </w:p>
    <w:p>
      <w:pPr>
        <w:pStyle w:val="Compact"/>
        <w:numPr>
          <w:ilvl w:val="0"/>
          <w:numId w:val="1012"/>
        </w:numPr>
      </w:pPr>
      <w:r>
        <w:t xml:space="preserve">Approximately $1.5 billion of share repurchases.</w:t>
      </w:r>
    </w:p>
    <w:p>
      <w:pPr>
        <w:pStyle w:val="FirstParagraph"/>
      </w:pPr>
      <w:r>
        <w:t xml:space="preserve">A guidance increase is plausible because Q1’s EPS raise came primarily from a lower tax-rate assumption, while management said stronger orders in Welding and Test &amp; Measurement were not incorporated into its demand-based forecast. Still, ITW normally guides conservatively from current run rates rather than extrapolating orders.</w:t>
      </w:r>
    </w:p>
    <w:bookmarkStart w:id="25" w:name="potential-scenarios"/>
    <w:p>
      <w:pPr>
        <w:pStyle w:val="Heading3"/>
      </w:pPr>
      <w:r>
        <w:t xml:space="preserve">Potential scenarios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Scenario</w:t>
            </w:r>
          </w:p>
        </w:tc>
        <w:tc>
          <w:tcPr/>
          <w:p>
            <w:pPr>
              <w:pStyle w:val="Compact"/>
            </w:pPr>
            <w:r>
              <w:t xml:space="preserve">Likely characteristics</w:t>
            </w:r>
          </w:p>
        </w:tc>
        <w:tc>
          <w:tcPr/>
          <w:p>
            <w:pPr>
              <w:pStyle w:val="Compact"/>
            </w:pPr>
            <w:r>
              <w:t xml:space="preserve">Probable interpretation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Bull case</w:t>
            </w:r>
          </w:p>
        </w:tc>
        <w:tc>
          <w:tcPr/>
          <w:p>
            <w:pPr>
              <w:pStyle w:val="Compact"/>
            </w:pPr>
            <w:r>
              <w:t xml:space="preserve">Organic growth ≥3%; margin ≥27%; strong T&amp;M/Welding; Food recovers; EPS guidance raised above current range or midpoint</w:t>
            </w:r>
          </w:p>
        </w:tc>
        <w:tc>
          <w:tcPr/>
          <w:p>
            <w:pPr>
              <w:pStyle w:val="Compact"/>
            </w:pPr>
            <w:r>
              <w:t xml:space="preserve">Industrial recovery is broadening; premium valuation supported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 case</w:t>
            </w:r>
          </w:p>
        </w:tc>
        <w:tc>
          <w:tcPr/>
          <w:p>
            <w:pPr>
              <w:pStyle w:val="Compact"/>
            </w:pPr>
            <w:r>
              <w:t xml:space="preserve">Organic growth around 2%; margin 26.5%–27%; modest EPS beat; guidance midpoint raised slightly or range narrowed upward</w:t>
            </w:r>
          </w:p>
        </w:tc>
        <w:tc>
          <w:tcPr/>
          <w:p>
            <w:pPr>
              <w:pStyle w:val="Compact"/>
            </w:pPr>
            <w:r>
              <w:t xml:space="preserve">Solid execution, but much of it may already be reflected in the stock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Bear case</w:t>
            </w:r>
          </w:p>
        </w:tc>
        <w:tc>
          <w:tcPr/>
          <w:p>
            <w:pPr>
              <w:pStyle w:val="Compact"/>
            </w:pPr>
            <w:r>
              <w:t xml:space="preserve">Organic growth ≤1%; margin below 26.5%; Food remains weak; orders moderate; guidance unchanged or reduced</w:t>
            </w:r>
          </w:p>
        </w:tc>
        <w:tc>
          <w:tcPr/>
          <w:p>
            <w:pPr>
              <w:pStyle w:val="Compact"/>
            </w:pPr>
            <w:r>
              <w:t xml:space="preserve">Q1 optimism was premature and second-half targets become more demanding</w:t>
            </w:r>
          </w:p>
        </w:tc>
      </w:tr>
    </w:tbl>
    <w:bookmarkEnd w:id="25"/>
    <w:bookmarkEnd w:id="26"/>
    <w:bookmarkStart w:id="27" w:name="questions-for-management"/>
    <w:p>
      <w:pPr>
        <w:pStyle w:val="Heading2"/>
      </w:pPr>
      <w:r>
        <w:t xml:space="preserve">Questions for management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did organic growth progress through April, May and June?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Are Welding and Test &amp; Measurement orders still running above reported sales growth?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much of Q2 growth came from volume versus price?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Has institutional Food Equipment demand returned to growth, and what does the order pipeline indicate for the second half?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How much delayed Middle East aerospace revenue remains in Specialty Products’ backlog?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Is the 100-basis-point enterprise-initiative contribution tracking above plan?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Has tariff uncertainty affected customer demand even if ITW’s direct tariff exposure remains limited?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Can every segment still deliver positive full-year organic growth and margin expansion?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What is the expected second-half EPS cadence following the Q2 result?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Is Customer-Back Innovation on track to exceed 2025’s 2.4% contribution to revenue growth?</w:t>
      </w:r>
    </w:p>
    <w:bookmarkEnd w:id="27"/>
    <w:bookmarkStart w:id="2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ITW enters Q2 with favorable operating momentum but a more demanding valuation and higher investor expectations. The most important indicators are: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Organic growth of roughly 2% or better.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Operating margin in the 26.5%–27% range or higher.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Sustained strength in Test &amp; Measurement and Welding.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 visible recovery in Food Equipment.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An upward adjustment—or at least stronger confidence—around full-year EPS guidance.</w:t>
      </w:r>
    </w:p>
    <w:p>
      <w:pPr>
        <w:pStyle w:val="FirstParagraph"/>
      </w:pPr>
      <w:r>
        <w:t xml:space="preserve">The cleanest bullish report would combine accelerating organic growth with broad segment margin improvement. Conversely, an EPS beat driven mainly by currency, tax or buybacks—without a better organic trajectory—would be unlikely to satisfy investors at roughly 25 times management’s current EPS midpoint.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investor.itw.com/news-and-events/news/news-details/2025/ITW-Reports-Second-Quarter-2025-Results/default.aspx" TargetMode="External" /><Relationship Type="http://schemas.openxmlformats.org/officeDocument/2006/relationships/hyperlink" Id="rId14" Target="https://investor.itw.com/news-and-events/news/news-details/2026/ITW-Reports-First-Quarter-2026-Results/default.aspx?utm_source=openai" TargetMode="External" /><Relationship Type="http://schemas.openxmlformats.org/officeDocument/2006/relationships/hyperlink" Id="rId11" Target="https://www.benzinga.com/quote/ITW/earnings?utm_source=openai" TargetMode="External" /><Relationship Type="http://schemas.openxmlformats.org/officeDocument/2006/relationships/hyperlink" Id="rId9" Target="https://www.globenewswire.com/news-release/2026/07/08/3324468/31446/en/ITW-Schedules-Second-Quarter-2026-Earnings-Webcast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investor.itw.com/news-and-events/news/news-details/2025/ITW-Reports-Second-Quarter-2025-Results/default.aspx" TargetMode="External" /><Relationship Type="http://schemas.openxmlformats.org/officeDocument/2006/relationships/hyperlink" Id="rId14" Target="https://investor.itw.com/news-and-events/news/news-details/2026/ITW-Reports-First-Quarter-2026-Results/default.aspx?utm_source=openai" TargetMode="External" /><Relationship Type="http://schemas.openxmlformats.org/officeDocument/2006/relationships/hyperlink" Id="rId11" Target="https://www.benzinga.com/quote/ITW/earnings?utm_source=openai" TargetMode="External" /><Relationship Type="http://schemas.openxmlformats.org/officeDocument/2006/relationships/hyperlink" Id="rId9" Target="https://www.globenewswire.com/news-release/2026/07/08/3324468/31446/en/ITW-Schedules-Second-Quarter-2026-Earnings-Webcast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2026-07-28T00:52:39Z</dcterms:created>
  <dcterms:modified xsi:type="dcterms:W3CDTF">2026-07-28T00:52:39Z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