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275e98002078bc2a310833d2cad74075db66f4"/>
    <w:p>
      <w:pPr>
        <w:pStyle w:val="Heading1"/>
      </w:pPr>
      <w:r>
        <w:t xml:space="preserve">Illinois Tool Works (NYSE: ITW) — 2Q26 Earnings Preview</w:t>
      </w:r>
    </w:p>
    <w:p>
      <w:pPr>
        <w:pStyle w:val="BlockText"/>
      </w:pPr>
      <w:r>
        <w:rPr>
          <w:b/>
          <w:bCs/>
        </w:rPr>
        <w:t xml:space="preserve">Timing note:</w:t>
      </w:r>
      <w:r>
        <w:t xml:space="preserve"> </w:t>
      </w:r>
      <w:r>
        <w:t xml:space="preserve">ITW’s 2026Q2 earnings call is scheduled for</w:t>
      </w:r>
      <w:r>
        <w:t xml:space="preserve"> </w:t>
      </w:r>
      <w:r>
        <w:rPr>
          <w:b/>
          <w:bCs/>
        </w:rPr>
        <w:t xml:space="preserve">today, Tuesday, July 28, 2026</w:t>
      </w:r>
      <w:r>
        <w:t xml:space="preserve">—not tomorrow, based on the stated event date.</w:t>
      </w:r>
    </w:p>
    <w:bookmarkStart w:id="9" w:name="X5f48d00e19d07daddbc46f2af3631291f7b4205"/>
    <w:p>
      <w:pPr>
        <w:pStyle w:val="Heading2"/>
      </w:pPr>
      <w:r>
        <w:t xml:space="preserve">Preview: the setup is constructive, but the bar is moving toward proof of acceleration</w:t>
      </w:r>
    </w:p>
    <w:p>
      <w:pPr>
        <w:pStyle w:val="FirstParagraph"/>
      </w:pPr>
      <w:r>
        <w:t xml:space="preserve">ITW enters 2Q with a favorable operational setup: the company exited 1Q pointing to improving demand, particularly in its capital-expenditure-sensitive businesses, and management expressed confidence that organic growth would accelerate through the year. The principal question for investors is no longer whether ITW can expand margins—it has consistently demonstrated that capability—but whether the improving order environment in</w:t>
      </w:r>
      <w:r>
        <w:t xml:space="preserve"> </w:t>
      </w:r>
      <w:r>
        <w:rPr>
          <w:b/>
          <w:bCs/>
        </w:rPr>
        <w:t xml:space="preserve">Test &amp; Measurement &amp; Electronics</w:t>
      </w:r>
      <w:r>
        <w:t xml:space="preserve"> </w:t>
      </w:r>
      <w:r>
        <w:t xml:space="preserve">and</w:t>
      </w:r>
      <w:r>
        <w:t xml:space="preserve"> </w:t>
      </w:r>
      <w:r>
        <w:rPr>
          <w:b/>
          <w:bCs/>
        </w:rPr>
        <w:t xml:space="preserve">Welding</w:t>
      </w:r>
      <w:r>
        <w:t xml:space="preserve"> </w:t>
      </w:r>
      <w:r>
        <w:t xml:space="preserve">is converting into sufficiently broad organic growth to support the high end of its</w:t>
      </w:r>
      <w:r>
        <w:t xml:space="preserve"> </w:t>
      </w:r>
      <w:r>
        <w:rPr>
          <w:b/>
          <w:bCs/>
        </w:rPr>
        <w:t xml:space="preserve">1%–3% full-year organic-growth</w:t>
      </w:r>
      <w:r>
        <w:t xml:space="preserve"> </w:t>
      </w:r>
      <w:r>
        <w:t xml:space="preserve">outlook.</w:t>
      </w:r>
    </w:p>
    <w:p>
      <w:pPr>
        <w:pStyle w:val="BodyText"/>
      </w:pPr>
      <w:r>
        <w:t xml:space="preserve">The equity has also firmed into the print. ITW closed at</w:t>
      </w:r>
      <w:r>
        <w:t xml:space="preserve"> </w:t>
      </w:r>
      <w:r>
        <w:rPr>
          <w:b/>
          <w:bCs/>
        </w:rPr>
        <w:t xml:space="preserve">$284.86 on July 27</w:t>
      </w:r>
      <w:r>
        <w:t xml:space="preserve">, up roughly</w:t>
      </w:r>
      <w:r>
        <w:t xml:space="preserve"> </w:t>
      </w:r>
      <w:r>
        <w:rPr>
          <w:b/>
          <w:bCs/>
        </w:rPr>
        <w:t xml:space="preserve">10.4% from its April 30 post-1Q-results close</w:t>
      </w:r>
      <w:r>
        <w:t xml:space="preserve">, increasing the importance of an intact outlook and credible evidence that the growth inflection is real.</w:t>
      </w:r>
    </w:p>
    <w:bookmarkEnd w:id="9"/>
    <w:bookmarkStart w:id="13" w:name="what-management-has-to-deliver"/>
    <w:p>
      <w:pPr>
        <w:pStyle w:val="Heading2"/>
      </w:pPr>
      <w:r>
        <w:t xml:space="preserve">What management has to deliver</w:t>
      </w:r>
    </w:p>
    <w:bookmarkStart w:id="10" w:name="X02b44d7228bfc19b922bada2184b1b0afaf9e56"/>
    <w:p>
      <w:pPr>
        <w:pStyle w:val="Heading3"/>
      </w:pPr>
      <w:r>
        <w:t xml:space="preserve">1. Organic-growth acceleration</w:t>
      </w:r>
    </w:p>
    <w:p>
      <w:pPr>
        <w:pStyle w:val="FirstParagraph"/>
      </w:pPr>
      <w:r>
        <w:t xml:space="preserve">ITW posted only</w:t>
      </w:r>
      <w:r>
        <w:t xml:space="preserve"> </w:t>
      </w:r>
      <w:r>
        <w:rPr>
          <w:b/>
          <w:bCs/>
        </w:rPr>
        <w:t xml:space="preserve">0.4% organic growth in 1Q</w:t>
      </w:r>
      <w:r>
        <w:t xml:space="preserve">, but that headline understated several temporary and portfolio-related drags:</w:t>
      </w:r>
    </w:p>
    <w:p>
      <w:pPr>
        <w:pStyle w:val="Compact"/>
        <w:numPr>
          <w:ilvl w:val="0"/>
          <w:numId w:val="1001"/>
        </w:numPr>
      </w:pPr>
      <w:r>
        <w:t xml:space="preserve">Product-line simplification reduced company organic growth by roughly</w:t>
      </w:r>
      <w:r>
        <w:t xml:space="preserve"> </w:t>
      </w:r>
      <w:r>
        <w:rPr>
          <w:b/>
          <w:bCs/>
        </w:rPr>
        <w:t xml:space="preserve">60 bps</w:t>
      </w:r>
      <w:r>
        <w:t xml:space="preserve">.</w:t>
      </w:r>
    </w:p>
    <w:p>
      <w:pPr>
        <w:pStyle w:val="Compact"/>
        <w:numPr>
          <w:ilvl w:val="0"/>
          <w:numId w:val="1001"/>
        </w:numPr>
      </w:pPr>
      <w:r>
        <w:t xml:space="preserve">Delayed Middle East aerospace sales and product-line simplification together weighed on Specialty Products.</w:t>
      </w:r>
    </w:p>
    <w:p>
      <w:pPr>
        <w:pStyle w:val="Compact"/>
        <w:numPr>
          <w:ilvl w:val="0"/>
          <w:numId w:val="1001"/>
        </w:numPr>
      </w:pPr>
      <w:r>
        <w:t xml:space="preserve">Food Equipment had a slower-than-expected institutional start, especially education-related demand.</w:t>
      </w:r>
    </w:p>
    <w:p>
      <w:pPr>
        <w:pStyle w:val="FirstParagraph"/>
      </w:pPr>
      <w:r>
        <w:t xml:space="preserve">Management nevertheless said that March organic growth was approximately 4%, that April was tracking toward the high end of the full-year organic-growth range, and that current order rates in Welding and Test &amp; Measurement were running above their reported 1Q organic-growth rates. That commentary established a relatively clear 2Q test:</w:t>
      </w:r>
      <w:r>
        <w:t xml:space="preserve"> </w:t>
      </w:r>
      <w:r>
        <w:rPr>
          <w:b/>
          <w:bCs/>
        </w:rPr>
        <w:t xml:space="preserve">organic growth should move materially above the 0.4% reported in 1Q</w:t>
      </w:r>
      <w:r>
        <w:t xml:space="preserve">, led by capex and semiconductor-related demand.</w:t>
      </w:r>
    </w:p>
    <w:bookmarkEnd w:id="10"/>
    <w:bookmarkStart w:id="11" w:name="Xda24f00216e5dc18cedb0d4f697fb8632c1a301"/>
    <w:p>
      <w:pPr>
        <w:pStyle w:val="Heading3"/>
      </w:pPr>
      <w:r>
        <w:t xml:space="preserve">2. Margin expansion must remain exceptionally strong</w:t>
      </w:r>
    </w:p>
    <w:p>
      <w:pPr>
        <w:pStyle w:val="FirstParagraph"/>
      </w:pPr>
      <w:r>
        <w:t xml:space="preserve">Margins are ITW’s core differentiator. In 1Q, operating margin increased</w:t>
      </w:r>
      <w:r>
        <w:t xml:space="preserve"> </w:t>
      </w:r>
      <w:r>
        <w:rPr>
          <w:b/>
          <w:bCs/>
        </w:rPr>
        <w:t xml:space="preserve">60 bps year over year to 25.4%</w:t>
      </w:r>
      <w:r>
        <w:t xml:space="preserve">, despite modest organic growth, as Enterprise Initiatives added</w:t>
      </w:r>
      <w:r>
        <w:t xml:space="preserve"> </w:t>
      </w:r>
      <w:r>
        <w:rPr>
          <w:b/>
          <w:bCs/>
        </w:rPr>
        <w:t xml:space="preserve">120 bps</w:t>
      </w:r>
      <w:r>
        <w:t xml:space="preserve">. Management guided to a sequential increase of</w:t>
      </w:r>
      <w:r>
        <w:t xml:space="preserve"> </w:t>
      </w:r>
      <w:r>
        <w:rPr>
          <w:b/>
          <w:bCs/>
        </w:rPr>
        <w:t xml:space="preserve">more than 100 bps in 2Q</w:t>
      </w:r>
      <w:r>
        <w:t xml:space="preserve">, implying an operating margin in roughly the mid-26% to 27% area.</w:t>
      </w:r>
    </w:p>
    <w:p>
      <w:pPr>
        <w:pStyle w:val="BodyText"/>
      </w:pPr>
      <w:r>
        <w:t xml:space="preserve">For the full year, ITW targets: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2026 guidance</w:t>
            </w:r>
          </w:p>
        </w:tc>
      </w:tr>
      <w:tr>
        <w:tc>
          <w:tcPr/>
          <w:p>
            <w:pPr>
              <w:pStyle w:val="Compact"/>
            </w:pPr>
            <w:r>
              <w:t xml:space="preserve">Revenue growth</w:t>
            </w:r>
          </w:p>
        </w:tc>
        <w:tc>
          <w:tcPr/>
          <w:p>
            <w:pPr>
              <w:pStyle w:val="Compact"/>
              <w:jc w:val="right"/>
            </w:pPr>
            <w:r>
              <w:t xml:space="preserve">2%–4%</w:t>
            </w:r>
          </w:p>
        </w:tc>
      </w:tr>
      <w:tr>
        <w:tc>
          <w:tcPr/>
          <w:p>
            <w:pPr>
              <w:pStyle w:val="Compact"/>
            </w:pPr>
            <w:r>
              <w:t xml:space="preserve">Organic growth</w:t>
            </w:r>
          </w:p>
        </w:tc>
        <w:tc>
          <w:tcPr/>
          <w:p>
            <w:pPr>
              <w:pStyle w:val="Compact"/>
              <w:jc w:val="right"/>
            </w:pPr>
            <w:r>
              <w:t xml:space="preserve">1%–3%</w:t>
            </w:r>
          </w:p>
        </w:tc>
      </w:tr>
      <w:tr>
        <w:tc>
          <w:tcPr/>
          <w:p>
            <w:pPr>
              <w:pStyle w:val="Compact"/>
            </w:pPr>
            <w:r>
              <w:t xml:space="preserve">Operating margin</w:t>
            </w:r>
          </w:p>
        </w:tc>
        <w:tc>
          <w:tcPr/>
          <w:p>
            <w:pPr>
              <w:pStyle w:val="Compact"/>
              <w:jc w:val="right"/>
            </w:pPr>
            <w:r>
              <w:t xml:space="preserve">26.5%–27.5%</w:t>
            </w:r>
          </w:p>
        </w:tc>
      </w:tr>
      <w:tr>
        <w:tc>
          <w:tcPr/>
          <w:p>
            <w:pPr>
              <w:pStyle w:val="Compact"/>
            </w:pPr>
            <w:r>
              <w:t xml:space="preserve">Margin expansion</w:t>
            </w:r>
          </w:p>
        </w:tc>
        <w:tc>
          <w:tcPr/>
          <w:p>
            <w:pPr>
              <w:pStyle w:val="Compact"/>
              <w:jc w:val="right"/>
            </w:pPr>
            <w:r>
              <w:t xml:space="preserve">~100 bps</w:t>
            </w:r>
          </w:p>
        </w:tc>
      </w:tr>
      <w:tr>
        <w:tc>
          <w:tcPr/>
          <w:p>
            <w:pPr>
              <w:pStyle w:val="Compact"/>
            </w:pPr>
            <w:r>
              <w:t xml:space="preserve">GAAP EPS</w:t>
            </w:r>
          </w:p>
        </w:tc>
        <w:tc>
          <w:tcPr/>
          <w:p>
            <w:pPr>
              <w:pStyle w:val="Compact"/>
              <w:jc w:val="right"/>
            </w:pPr>
            <m:oMath>
              <m:r>
                <m:t>11.10</m:t>
              </m:r>
              <m:r>
                <m:rPr>
                  <m:sty m:val="p"/>
                </m:rPr>
                <m:t>–</m:t>
              </m:r>
            </m:oMath>
            <w:r>
              <w:t xml:space="preserve">11.50</w:t>
            </w:r>
          </w:p>
        </w:tc>
      </w:tr>
      <w:tr>
        <w:tc>
          <w:tcPr/>
          <w:p>
            <w:pPr>
              <w:pStyle w:val="Compact"/>
            </w:pPr>
            <w:r>
              <w:t xml:space="preserve">Free-cash-flow conversion</w:t>
            </w:r>
          </w:p>
        </w:tc>
        <w:tc>
          <w:tcPr/>
          <w:p>
            <w:pPr>
              <w:pStyle w:val="Compact"/>
              <w:jc w:val="right"/>
            </w:pPr>
            <w:r>
              <w:t xml:space="preserve">&gt;100% of net income</w:t>
            </w:r>
          </w:p>
        </w:tc>
      </w:tr>
      <w:tr>
        <w:tc>
          <w:tcPr/>
          <w:p>
            <w:pPr>
              <w:pStyle w:val="Compact"/>
            </w:pPr>
            <w:r>
              <w:t xml:space="preserve">Share repurchases</w:t>
            </w:r>
          </w:p>
        </w:tc>
        <w:tc>
          <w:tcPr/>
          <w:p>
            <w:pPr>
              <w:pStyle w:val="Compact"/>
              <w:jc w:val="right"/>
            </w:pPr>
            <w:r>
              <w:t xml:space="preserve">~ $1.5 billion</w:t>
            </w:r>
          </w:p>
        </w:tc>
      </w:tr>
    </w:tbl>
    <w:p>
      <w:pPr>
        <w:pStyle w:val="BodyText"/>
      </w:pPr>
      <w:r>
        <w:t xml:space="preserve">The 2Q print should therefore demonstrate not only improved revenue growth, but also that the margin algorithm is holding as volumes improve. The best outcome would be accelerating growth</w:t>
      </w:r>
      <w:r>
        <w:t xml:space="preserve"> </w:t>
      </w:r>
      <w:r>
        <w:rPr>
          <w:b/>
          <w:bCs/>
        </w:rPr>
        <w:t xml:space="preserve">and</w:t>
      </w:r>
      <w:r>
        <w:t xml:space="preserve"> </w:t>
      </w:r>
      <w:r>
        <w:t xml:space="preserve">maintained mid-to-high-40% incremental margins.</w:t>
      </w:r>
    </w:p>
    <w:bookmarkEnd w:id="11"/>
    <w:bookmarkStart w:id="12" w:name="X053a0b3268e1ab6ffd1c216829d3233537b55a5"/>
    <w:p>
      <w:pPr>
        <w:pStyle w:val="Heading3"/>
      </w:pPr>
      <w:r>
        <w:t xml:space="preserve">3. Guidance is likely more important than the headline EPS result</w:t>
      </w:r>
    </w:p>
    <w:p>
      <w:pPr>
        <w:pStyle w:val="FirstParagraph"/>
      </w:pPr>
      <w:r>
        <w:t xml:space="preserve">Management raised 2026 GAAP EPS guidance by</w:t>
      </w:r>
      <w:r>
        <w:t xml:space="preserve"> </w:t>
      </w:r>
      <m:oMath>
        <m:r>
          <m:t>0.10</m:t>
        </m:r>
        <m:r>
          <m:t>a</m:t>
        </m:r>
        <m:r>
          <m:t>f</m:t>
        </m:r>
        <m:r>
          <m:t>t</m:t>
        </m:r>
        <m:r>
          <m:t>e</m:t>
        </m:r>
        <m:r>
          <m:t>r</m:t>
        </m:r>
        <m:r>
          <m:t>1</m:t>
        </m:r>
        <m:r>
          <m:t>Q</m:t>
        </m:r>
        <m:r>
          <m:rPr>
            <m:sty m:val="p"/>
          </m:rPr>
          <m:t>,</m:t>
        </m:r>
        <m:r>
          <m:t>t</m:t>
        </m:r>
        <m:r>
          <m:t>o</m:t>
        </m:r>
        <m:r>
          <m:t>a</m:t>
        </m:r>
        <m:r>
          <m:t>m</m:t>
        </m:r>
        <m:r>
          <m:t>i</m:t>
        </m:r>
        <m:r>
          <m:t>d</m:t>
        </m:r>
        <m:r>
          <m:t>p</m:t>
        </m:r>
        <m:r>
          <m:t>o</m:t>
        </m:r>
        <m:r>
          <m:t>i</m:t>
        </m:r>
        <m:r>
          <m:t>n</m:t>
        </m:r>
        <m:r>
          <m:t>t</m:t>
        </m:r>
        <m:r>
          <m:t>o</m:t>
        </m:r>
        <m:r>
          <m:t>f</m:t>
        </m:r>
        <m:r>
          <m:rPr>
            <m:sty m:val="p"/>
          </m:rPr>
          <m:t>*</m:t>
        </m:r>
        <m:r>
          <m:rPr>
            <m:sty m:val="p"/>
          </m:rPr>
          <m:t>*</m:t>
        </m:r>
      </m:oMath>
      <w:r>
        <w:t xml:space="preserve">11.30**. It also indicated that the first half should account for approximately</w:t>
      </w:r>
      <w:r>
        <w:t xml:space="preserve"> </w:t>
      </w:r>
      <w:r>
        <w:rPr>
          <w:b/>
          <w:bCs/>
        </w:rPr>
        <w:t xml:space="preserve">48% of full-year EPS</w:t>
      </w:r>
      <w:r>
        <w:t xml:space="preserve">, with 1Q comprising 23%; that framework implies 2Q EPS of approximately</w:t>
      </w:r>
      <w:r>
        <w:t xml:space="preserve"> </w:t>
      </w:r>
      <m:oMath>
        <m:r>
          <m:t>2.78</m:t>
        </m:r>
        <m:r>
          <m:rPr>
            <m:sty m:val="p"/>
          </m:rPr>
          <m:t>–</m:t>
        </m:r>
      </m:oMath>
      <w:r>
        <w:rPr>
          <w:b/>
          <w:bCs/>
        </w:rPr>
        <w:t xml:space="preserve">2.88</w:t>
      </w:r>
      <w:r>
        <w:t xml:space="preserve">, or about</w:t>
      </w:r>
      <w:r>
        <w:t xml:space="preserve"> </w:t>
      </w:r>
      <w:r>
        <w:rPr>
          <w:b/>
          <w:bCs/>
        </w:rPr>
        <w:t xml:space="preserve">$2.83 at the annual-guidance midpoint</w:t>
      </w:r>
      <w:r>
        <w:t xml:space="preserve">.</w:t>
      </w:r>
    </w:p>
    <w:p>
      <w:pPr>
        <w:pStyle w:val="BodyText"/>
      </w:pPr>
      <w:r>
        <w:t xml:space="preserve">However, investors should focus on the composition of any beat or miss:</w:t>
      </w:r>
    </w:p>
    <w:p>
      <w:pPr>
        <w:pStyle w:val="Compact"/>
        <w:numPr>
          <w:ilvl w:val="0"/>
          <w:numId w:val="1002"/>
        </w:numPr>
      </w:pPr>
      <w:r>
        <w:rPr>
          <w:b/>
          <w:bCs/>
        </w:rPr>
        <w:t xml:space="preserve">Higher organic growth and better margins</w:t>
      </w:r>
      <w:r>
        <w:t xml:space="preserve"> </w:t>
      </w:r>
      <w:r>
        <w:t xml:space="preserve">would be high-quality upside.</w:t>
      </w:r>
    </w:p>
    <w:p>
      <w:pPr>
        <w:pStyle w:val="Compact"/>
        <w:numPr>
          <w:ilvl w:val="0"/>
          <w:numId w:val="1002"/>
        </w:numPr>
      </w:pPr>
      <w:r>
        <w:rPr>
          <w:b/>
          <w:bCs/>
        </w:rPr>
        <w:t xml:space="preserve">FX, tax, or buyback-driven EPS upside</w:t>
      </w:r>
      <w:r>
        <w:t xml:space="preserve"> </w:t>
      </w:r>
      <w:r>
        <w:t xml:space="preserve">without better demand would likely be viewed less favorably.</w:t>
      </w:r>
    </w:p>
    <w:p>
      <w:pPr>
        <w:pStyle w:val="Compact"/>
        <w:numPr>
          <w:ilvl w:val="0"/>
          <w:numId w:val="1002"/>
        </w:numPr>
      </w:pPr>
      <w:r>
        <w:t xml:space="preserve">Maintaining the full-year framework may be enough if 2Q confirms the expected sequential improvement, but a guide raise would require broad confidence that capex strength can offset ongoing consumer-facing and construction-market pressure.</w:t>
      </w:r>
    </w:p>
    <w:bookmarkEnd w:id="12"/>
    <w:bookmarkEnd w:id="13"/>
    <w:bookmarkStart w:id="19" w:name="segment-scorecard-where-to-focus"/>
    <w:p>
      <w:pPr>
        <w:pStyle w:val="Heading2"/>
      </w:pPr>
      <w:r>
        <w:t xml:space="preserve">Segment scorecard: where to focus</w:t>
      </w:r>
    </w:p>
    <w:bookmarkStart w:id="14" w:name="Xfac322d1ce127bf96c1c895f7af5d7b62dd633a"/>
    <w:p>
      <w:pPr>
        <w:pStyle w:val="Heading3"/>
      </w:pPr>
      <w:r>
        <w:rPr>
          <w:b/>
          <w:bCs/>
        </w:rPr>
        <w:t xml:space="preserve">Test &amp; Measurement &amp; Electronics — key upside lever</w:t>
      </w:r>
    </w:p>
    <w:p>
      <w:pPr>
        <w:pStyle w:val="FirstParagraph"/>
      </w:pPr>
      <w:r>
        <w:t xml:space="preserve">This was the standout 1Q segment:</w:t>
      </w:r>
      <w:r>
        <w:t xml:space="preserve"> </w:t>
      </w:r>
      <w:r>
        <w:rPr>
          <w:b/>
          <w:bCs/>
        </w:rPr>
        <w:t xml:space="preserve">4.6% organic growth</w:t>
      </w:r>
      <w:r>
        <w:t xml:space="preserve">, including more than</w:t>
      </w:r>
      <w:r>
        <w:t xml:space="preserve"> </w:t>
      </w:r>
      <w:r>
        <w:rPr>
          <w:b/>
          <w:bCs/>
        </w:rPr>
        <w:t xml:space="preserve">15% growth in semi-related businesses</w:t>
      </w:r>
      <w:r>
        <w:t xml:space="preserve"> </w:t>
      </w:r>
      <w:r>
        <w:t xml:space="preserve">and over</w:t>
      </w:r>
      <w:r>
        <w:t xml:space="preserve"> </w:t>
      </w:r>
      <w:r>
        <w:rPr>
          <w:b/>
          <w:bCs/>
        </w:rPr>
        <w:t xml:space="preserve">24% growth in electronics assembly</w:t>
      </w:r>
      <w:r>
        <w:t xml:space="preserve">. Segment margin expanded</w:t>
      </w:r>
      <w:r>
        <w:t xml:space="preserve"> </w:t>
      </w:r>
      <w:r>
        <w:rPr>
          <w:b/>
          <w:bCs/>
        </w:rPr>
        <w:t xml:space="preserve">150 bps to 22.9%</w:t>
      </w:r>
      <w:r>
        <w:t xml:space="preserve">, with operating leverage providing a major contribution.</w:t>
      </w:r>
    </w:p>
    <w:p>
      <w:pPr>
        <w:pStyle w:val="BodyText"/>
      </w:pPr>
      <w:r>
        <w:rPr>
          <w:b/>
          <w:bCs/>
        </w:rPr>
        <w:t xml:space="preserve">What matters in 2Q:</w:t>
      </w:r>
    </w:p>
    <w:p>
      <w:pPr>
        <w:pStyle w:val="Compact"/>
        <w:numPr>
          <w:ilvl w:val="0"/>
          <w:numId w:val="1003"/>
        </w:numPr>
      </w:pPr>
      <w:r>
        <w:t xml:space="preserve">Evidence that semiconductor/electronics recovery remains durable rather than inventory-driven.</w:t>
      </w:r>
    </w:p>
    <w:p>
      <w:pPr>
        <w:pStyle w:val="Compact"/>
        <w:numPr>
          <w:ilvl w:val="0"/>
          <w:numId w:val="1003"/>
        </w:numPr>
      </w:pPr>
      <w:r>
        <w:t xml:space="preserve">Continued strength in North America and Asia.</w:t>
      </w:r>
    </w:p>
    <w:p>
      <w:pPr>
        <w:pStyle w:val="Compact"/>
        <w:numPr>
          <w:ilvl w:val="0"/>
          <w:numId w:val="1003"/>
        </w:numPr>
      </w:pPr>
      <w:r>
        <w:t xml:space="preserve">Further margin recovery, particularly as the dilutive impact of the 2025 acquisition is absorbed.</w:t>
      </w:r>
    </w:p>
    <w:p>
      <w:pPr>
        <w:pStyle w:val="FirstParagraph"/>
      </w:pPr>
      <w:r>
        <w:t xml:space="preserve">This is ITW’s clearest source of cyclical upside to both growth and incremental margins.</w:t>
      </w:r>
    </w:p>
    <w:bookmarkEnd w:id="14"/>
    <w:bookmarkStart w:id="15" w:name="X8c1920f0df8d5cbe4e6f0631c3e60e607932594"/>
    <w:p>
      <w:pPr>
        <w:pStyle w:val="Heading3"/>
      </w:pPr>
      <w:r>
        <w:rPr>
          <w:b/>
          <w:bCs/>
        </w:rPr>
        <w:t xml:space="preserve">Welding — confirmation of industrial recovery</w:t>
      </w:r>
    </w:p>
    <w:p>
      <w:pPr>
        <w:pStyle w:val="FirstParagraph"/>
      </w:pPr>
      <w:r>
        <w:t xml:space="preserve">Welding delivered</w:t>
      </w:r>
      <w:r>
        <w:t xml:space="preserve"> </w:t>
      </w:r>
      <w:r>
        <w:rPr>
          <w:b/>
          <w:bCs/>
        </w:rPr>
        <w:t xml:space="preserve">6.0% organic growth</w:t>
      </w:r>
      <w:r>
        <w:t xml:space="preserve"> </w:t>
      </w:r>
      <w:r>
        <w:t xml:space="preserve">in 1Q, driven by broad North American industrial and commercial strength. Revenue growth was 7.3%, while segment margin remained elite at</w:t>
      </w:r>
      <w:r>
        <w:t xml:space="preserve"> </w:t>
      </w:r>
      <w:r>
        <w:rPr>
          <w:b/>
          <w:bCs/>
        </w:rPr>
        <w:t xml:space="preserve">32.1%</w:t>
      </w:r>
      <w:r>
        <w:t xml:space="preserve">, albeit down 40 bps year over year due largely to employee-related costs.</w:t>
      </w:r>
    </w:p>
    <w:p>
      <w:pPr>
        <w:pStyle w:val="BodyText"/>
      </w:pPr>
      <w:r>
        <w:rPr>
          <w:b/>
          <w:bCs/>
        </w:rPr>
        <w:t xml:space="preserve">What matters in 2Q:</w:t>
      </w:r>
    </w:p>
    <w:p>
      <w:pPr>
        <w:pStyle w:val="Compact"/>
        <w:numPr>
          <w:ilvl w:val="0"/>
          <w:numId w:val="1004"/>
        </w:numPr>
      </w:pPr>
      <w:r>
        <w:t xml:space="preserve">Whether order strength translates into sustained mid-single-digit or better organic growth.</w:t>
      </w:r>
    </w:p>
    <w:p>
      <w:pPr>
        <w:pStyle w:val="Compact"/>
        <w:numPr>
          <w:ilvl w:val="0"/>
          <w:numId w:val="1004"/>
        </w:numPr>
      </w:pPr>
      <w:r>
        <w:t xml:space="preserve">Whether international weakness—especially Asia and the Middle East—persists.</w:t>
      </w:r>
    </w:p>
    <w:p>
      <w:pPr>
        <w:pStyle w:val="Compact"/>
        <w:numPr>
          <w:ilvl w:val="0"/>
          <w:numId w:val="1004"/>
        </w:numPr>
      </w:pPr>
      <w:r>
        <w:t xml:space="preserve">Incremental-margin progression despite already very high segment margins.</w:t>
      </w:r>
    </w:p>
    <w:bookmarkEnd w:id="15"/>
    <w:bookmarkStart w:id="16" w:name="food-equipment--the-key-execution-risk"/>
    <w:p>
      <w:pPr>
        <w:pStyle w:val="Heading3"/>
      </w:pPr>
      <w:r>
        <w:rPr>
          <w:b/>
          <w:bCs/>
        </w:rPr>
        <w:t xml:space="preserve">Food Equipment — the key execution risk</w:t>
      </w:r>
    </w:p>
    <w:p>
      <w:pPr>
        <w:pStyle w:val="FirstParagraph"/>
      </w:pPr>
      <w:r>
        <w:t xml:space="preserve">Food Equipment was the weak point in 1Q: organic revenue declined</w:t>
      </w:r>
      <w:r>
        <w:t xml:space="preserve"> </w:t>
      </w:r>
      <w:r>
        <w:rPr>
          <w:b/>
          <w:bCs/>
        </w:rPr>
        <w:t xml:space="preserve">2.8%</w:t>
      </w:r>
      <w:r>
        <w:t xml:space="preserve">, equipment revenue fell 6%, and margin dropped</w:t>
      </w:r>
      <w:r>
        <w:t xml:space="preserve"> </w:t>
      </w:r>
      <w:r>
        <w:rPr>
          <w:b/>
          <w:bCs/>
        </w:rPr>
        <w:t xml:space="preserve">180 bps to 24.7%</w:t>
      </w:r>
      <w:r>
        <w:t xml:space="preserve">. The problem was concentrated in North American institutional and food-retail demand, while service growth and QSR activity were more resilient.</w:t>
      </w:r>
    </w:p>
    <w:p>
      <w:pPr>
        <w:pStyle w:val="BodyText"/>
      </w:pPr>
      <w:r>
        <w:t xml:space="preserve">Management characterized the shortfall as isolated and said trends improved from February through April.</w:t>
      </w:r>
    </w:p>
    <w:p>
      <w:pPr>
        <w:pStyle w:val="BodyText"/>
      </w:pPr>
      <w:r>
        <w:rPr>
          <w:b/>
          <w:bCs/>
        </w:rPr>
        <w:t xml:space="preserve">What matters in 2Q:</w:t>
      </w:r>
    </w:p>
    <w:p>
      <w:pPr>
        <w:pStyle w:val="Compact"/>
        <w:numPr>
          <w:ilvl w:val="0"/>
          <w:numId w:val="1005"/>
        </w:numPr>
      </w:pPr>
      <w:r>
        <w:t xml:space="preserve">Return to positive organic growth or, at minimum, a sharp sequential improvement.</w:t>
      </w:r>
    </w:p>
    <w:p>
      <w:pPr>
        <w:pStyle w:val="Compact"/>
        <w:numPr>
          <w:ilvl w:val="0"/>
          <w:numId w:val="1005"/>
        </w:numPr>
      </w:pPr>
      <w:r>
        <w:t xml:space="preserve">Margin normalization from the 1Q low point.</w:t>
      </w:r>
    </w:p>
    <w:p>
      <w:pPr>
        <w:pStyle w:val="Compact"/>
        <w:numPr>
          <w:ilvl w:val="0"/>
          <w:numId w:val="1005"/>
        </w:numPr>
      </w:pPr>
      <w:r>
        <w:t xml:space="preserve">Continued service resilience and evidence that institutional demand is stabilizing.</w:t>
      </w:r>
    </w:p>
    <w:p>
      <w:pPr>
        <w:pStyle w:val="FirstParagraph"/>
      </w:pPr>
      <w:r>
        <w:t xml:space="preserve">A second weak Food Equipment quarter would challenge the company’s claim that every segment can generate positive organic growth in 2026.</w:t>
      </w:r>
    </w:p>
    <w:bookmarkEnd w:id="16"/>
    <w:bookmarkStart w:id="17" w:name="X52df1b3ee631bc4fe113a0e7991ae78cd866d72"/>
    <w:p>
      <w:pPr>
        <w:pStyle w:val="Heading3"/>
      </w:pPr>
      <w:r>
        <w:rPr>
          <w:b/>
          <w:bCs/>
        </w:rPr>
        <w:t xml:space="preserve">Automotive OEM — outgrowth versus builds is the right metric</w:t>
      </w:r>
    </w:p>
    <w:p>
      <w:pPr>
        <w:pStyle w:val="FirstParagraph"/>
      </w:pPr>
      <w:r>
        <w:t xml:space="preserve">Automotive organic revenue declined</w:t>
      </w:r>
      <w:r>
        <w:t xml:space="preserve"> </w:t>
      </w:r>
      <w:r>
        <w:rPr>
          <w:b/>
          <w:bCs/>
        </w:rPr>
        <w:t xml:space="preserve">0.9%</w:t>
      </w:r>
      <w:r>
        <w:t xml:space="preserve"> </w:t>
      </w:r>
      <w:r>
        <w:t xml:space="preserve">in 1Q, but that was substantially better than the more than 3% decline in global auto builds. China was the notable bright spot from a relative-performance perspective: ITW’s China organic decline was 3.2%, versus a 10% decline in regional builds.</w:t>
      </w:r>
    </w:p>
    <w:p>
      <w:pPr>
        <w:pStyle w:val="BodyText"/>
      </w:pPr>
      <w:r>
        <w:t xml:space="preserve">Management expected China builds to improve materially in 2Q and maintained its normal target of</w:t>
      </w:r>
      <w:r>
        <w:t xml:space="preserve"> </w:t>
      </w:r>
      <w:r>
        <w:rPr>
          <w:b/>
          <w:bCs/>
        </w:rPr>
        <w:t xml:space="preserve">200–300 bps outgrowth versus global vehicle production</w:t>
      </w:r>
      <w:r>
        <w:t xml:space="preserve">.</w:t>
      </w:r>
    </w:p>
    <w:p>
      <w:pPr>
        <w:pStyle w:val="BodyText"/>
      </w:pPr>
      <w:r>
        <w:rPr>
          <w:b/>
          <w:bCs/>
        </w:rPr>
        <w:t xml:space="preserve">What matters in 2Q:</w:t>
      </w:r>
    </w:p>
    <w:p>
      <w:pPr>
        <w:pStyle w:val="Compact"/>
        <w:numPr>
          <w:ilvl w:val="0"/>
          <w:numId w:val="1006"/>
        </w:numPr>
      </w:pPr>
      <w:r>
        <w:t xml:space="preserve">Sustained relative outperformance, especially in China and EV-related applications.</w:t>
      </w:r>
    </w:p>
    <w:p>
      <w:pPr>
        <w:pStyle w:val="Compact"/>
        <w:numPr>
          <w:ilvl w:val="0"/>
          <w:numId w:val="1006"/>
        </w:numPr>
      </w:pPr>
      <w:r>
        <w:t xml:space="preserve">The expected sequential pickup in demand and more than 100 bps of sequential margin improvement.</w:t>
      </w:r>
    </w:p>
    <w:p>
      <w:pPr>
        <w:pStyle w:val="Compact"/>
        <w:numPr>
          <w:ilvl w:val="0"/>
          <w:numId w:val="1006"/>
        </w:numPr>
      </w:pPr>
      <w:r>
        <w:t xml:space="preserve">Any impact from auto tariffs or broader trade-policy changes on customer production plans.</w:t>
      </w:r>
    </w:p>
    <w:bookmarkEnd w:id="17"/>
    <w:bookmarkStart w:id="18" w:name="X82d9049fe912317bc0856085adebff27714b95a"/>
    <w:p>
      <w:pPr>
        <w:pStyle w:val="Heading3"/>
      </w:pPr>
      <w:r>
        <w:rPr>
          <w:b/>
          <w:bCs/>
        </w:rPr>
        <w:t xml:space="preserve">Specialty Products and Construction Products — pressure points</w:t>
      </w:r>
    </w:p>
    <w:p>
      <w:pPr>
        <w:pStyle w:val="FirstParagraph"/>
      </w:pPr>
      <w:r>
        <w:t xml:space="preserve">Specialty Products organic revenue fell</w:t>
      </w:r>
      <w:r>
        <w:t xml:space="preserve"> </w:t>
      </w:r>
      <w:r>
        <w:rPr>
          <w:b/>
          <w:bCs/>
        </w:rPr>
        <w:t xml:space="preserve">4.7%</w:t>
      </w:r>
      <w:r>
        <w:t xml:space="preserve"> </w:t>
      </w:r>
      <w:r>
        <w:t xml:space="preserve">in 1Q, partially because product-line simplification and delayed Middle East aerospace shipments reduced growth. Construction Products declined</w:t>
      </w:r>
      <w:r>
        <w:t xml:space="preserve"> </w:t>
      </w:r>
      <w:r>
        <w:rPr>
          <w:b/>
          <w:bCs/>
        </w:rPr>
        <w:t xml:space="preserve">1.3% organically</w:t>
      </w:r>
      <w:r>
        <w:t xml:space="preserve">, with weakness outside the U.S. and muted commercial demand.</w:t>
      </w:r>
    </w:p>
    <w:p>
      <w:pPr>
        <w:pStyle w:val="BodyText"/>
      </w:pPr>
      <w:r>
        <w:t xml:space="preserve">Neither needs to become a major growth engine for ITW to deliver its full-year plan. But both need to improve enough that the stronger capex-linked segments are not merely offsetting persistent declines elsewhere.</w:t>
      </w:r>
    </w:p>
    <w:bookmarkEnd w:id="18"/>
    <w:bookmarkEnd w:id="19"/>
    <w:bookmarkStart w:id="20" w:name="Xb5bb2ba0466c479bc193aa3dd94598e8d8d99c7"/>
    <w:p>
      <w:pPr>
        <w:pStyle w:val="Heading2"/>
      </w:pPr>
      <w:r>
        <w:t xml:space="preserve">Earnings-quality adjustment: don’t annualize the 1Q tax benefit</w:t>
      </w:r>
    </w:p>
    <w:p>
      <w:pPr>
        <w:pStyle w:val="FirstParagraph"/>
      </w:pPr>
      <w:r>
        <w:t xml:space="preserve">1Q GAAP EPS was</w:t>
      </w:r>
      <w:r>
        <w:t xml:space="preserve"> </w:t>
      </w:r>
      <m:oMath>
        <m:r>
          <m:t>2.66</m:t>
        </m:r>
        <m:r>
          <m:rPr>
            <m:sty m:val="p"/>
          </m:rPr>
          <m:t>*</m:t>
        </m:r>
        <m:r>
          <m:rPr>
            <m:sty m:val="p"/>
          </m:rPr>
          <m:t>*</m:t>
        </m:r>
        <m:r>
          <m:rPr>
            <m:sty m:val="p"/>
          </m:rPr>
          <m:t>,</m:t>
        </m:r>
        <m:r>
          <m:t>u</m:t>
        </m:r>
        <m:r>
          <m:t>p</m:t>
        </m:r>
        <m:r>
          <m:t>12</m:t>
        </m:r>
      </m:oMath>
      <w:r>
        <w:rPr>
          <w:b/>
          <w:bCs/>
        </w:rPr>
        <w:t xml:space="preserve">34 million discrete tax benefit</w:t>
      </w:r>
      <w:r>
        <w:t xml:space="preserve">, primarily tied to resolution of a U.S. tax audit. On the reported diluted share base, that benefit was roughly</w:t>
      </w:r>
      <w:r>
        <w:t xml:space="preserve"> </w:t>
      </w:r>
      <m:oMath>
        <m:r>
          <m:t>0.12</m:t>
        </m:r>
        <m:r>
          <m:t>p</m:t>
        </m:r>
        <m:r>
          <m:t>e</m:t>
        </m:r>
        <m:r>
          <m:t>r</m:t>
        </m:r>
        <m:r>
          <m:t>s</m:t>
        </m:r>
        <m:r>
          <m:t>h</m:t>
        </m:r>
        <m:r>
          <m:t>a</m:t>
        </m:r>
        <m:r>
          <m:t>r</m:t>
        </m:r>
        <m:r>
          <m:t>e</m:t>
        </m:r>
        <m:r>
          <m:rPr>
            <m:sty m:val="p"/>
          </m:rPr>
          <m:t>*</m:t>
        </m:r>
        <m:r>
          <m:rPr>
            <m:sty m:val="p"/>
          </m:rPr>
          <m:t>*</m:t>
        </m:r>
        <m:r>
          <m:rPr>
            <m:sty m:val="p"/>
          </m:rPr>
          <m:t>,</m:t>
        </m:r>
        <m:r>
          <m:t>i</m:t>
        </m:r>
        <m:r>
          <m:t>m</m:t>
        </m:r>
        <m:r>
          <m:t>p</m:t>
        </m:r>
        <m:r>
          <m:t>l</m:t>
        </m:r>
        <m:r>
          <m:t>y</m:t>
        </m:r>
        <m:r>
          <m:t>i</m:t>
        </m:r>
        <m:r>
          <m:t>n</m:t>
        </m:r>
        <m:r>
          <m:t>g</m:t>
        </m:r>
        <m:r>
          <m:t>a</m:t>
        </m:r>
        <m:r>
          <m:t>p</m:t>
        </m:r>
        <m:r>
          <m:t>p</m:t>
        </m:r>
        <m:r>
          <m:t>r</m:t>
        </m:r>
        <m:r>
          <m:t>o</m:t>
        </m:r>
        <m:r>
          <m:t>x</m:t>
        </m:r>
        <m:r>
          <m:t>i</m:t>
        </m:r>
        <m:r>
          <m:t>m</m:t>
        </m:r>
        <m:r>
          <m:t>a</m:t>
        </m:r>
        <m:r>
          <m:t>t</m:t>
        </m:r>
        <m:r>
          <m:t>e</m:t>
        </m:r>
        <m:r>
          <m:t>l</m:t>
        </m:r>
        <m:r>
          <m:t>y</m:t>
        </m:r>
        <m:r>
          <m:rPr>
            <m:sty m:val="p"/>
          </m:rPr>
          <m:t>*</m:t>
        </m:r>
        <m:r>
          <m:rPr>
            <m:sty m:val="p"/>
          </m:rPr>
          <m:t>*</m:t>
        </m:r>
      </m:oMath>
      <w:r>
        <w:rPr>
          <w:b/>
          <w:bCs/>
        </w:rPr>
        <w:t xml:space="preserve">2.54</w:t>
      </w:r>
      <w:r>
        <w:t xml:space="preserve"> </w:t>
      </w:r>
      <w:r>
        <w:t xml:space="preserve">of 1Q EPS before that item.</w:t>
      </w:r>
    </w:p>
    <w:p>
      <w:pPr>
        <w:pStyle w:val="BodyText"/>
      </w:pPr>
      <w:r>
        <w:t xml:space="preserve">The company’s full-year effective-tax-rate outlook is</w:t>
      </w:r>
      <w:r>
        <w:t xml:space="preserve"> </w:t>
      </w:r>
      <w:r>
        <w:rPr>
          <w:b/>
          <w:bCs/>
        </w:rPr>
        <w:t xml:space="preserve">23%–24%</w:t>
      </w:r>
      <w:r>
        <w:t xml:space="preserve">, so investors should assess 2Q EPS against normalized tax assumptions rather than treating the 1Q tax rate as repeatable.</w:t>
      </w:r>
    </w:p>
    <w:bookmarkEnd w:id="20"/>
    <w:bookmarkStart w:id="21" w:name="X38025984928783522ba070aadd9a50970162099"/>
    <w:p>
      <w:pPr>
        <w:pStyle w:val="Heading2"/>
      </w:pPr>
      <w:r>
        <w:t xml:space="preserve">Tariffs and macro: likely more a demand question than a direct-cost question</w:t>
      </w:r>
    </w:p>
    <w:p>
      <w:pPr>
        <w:pStyle w:val="FirstParagraph"/>
      </w:pPr>
      <w:r>
        <w:t xml:space="preserve">ITW has emphasized its “produce where we sell” model and has stated that direct tariff costs are largely manageable through pricing and supply-chain actions. In 1Q, it expected price/cost to be modestly margin-accretive even after incorporating known tariff changes and material-cost inflation.</w:t>
      </w:r>
    </w:p>
    <w:p>
      <w:pPr>
        <w:pStyle w:val="BodyText"/>
      </w:pPr>
      <w:r>
        <w:t xml:space="preserve">The more relevant risk is indirect: changing tariff policies, higher input and freight costs, and uncertainty around customer capex or consumer spending could affect demand across Automotive, Food Equipment, Construction Products, and portions of Specialty Products. Management’s commentary on customer ordering behavior and whether price is holding cleanly will be important.</w:t>
      </w:r>
    </w:p>
    <w:bookmarkEnd w:id="21"/>
    <w:bookmarkStart w:id="22" w:name="capital-allocation-and-balance-sheet"/>
    <w:p>
      <w:pPr>
        <w:pStyle w:val="Heading2"/>
      </w:pPr>
      <w:r>
        <w:t xml:space="preserve">Capital allocation and balance sheet</w:t>
      </w:r>
    </w:p>
    <w:p>
      <w:pPr>
        <w:pStyle w:val="FirstParagraph"/>
      </w:pPr>
      <w:r>
        <w:t xml:space="preserve">ITW remains a substantial cash-return story:</w:t>
      </w:r>
    </w:p>
    <w:p>
      <w:pPr>
        <w:pStyle w:val="Compact"/>
        <w:numPr>
          <w:ilvl w:val="0"/>
          <w:numId w:val="1007"/>
        </w:numPr>
      </w:pPr>
      <w:r>
        <w:t xml:space="preserve">1Q free cash flow was</w:t>
      </w:r>
      <w:r>
        <w:t xml:space="preserve"> </w:t>
      </w:r>
      <w:r>
        <w:rPr>
          <w:b/>
          <w:bCs/>
        </w:rPr>
        <w:t xml:space="preserve">$528 million</w:t>
      </w:r>
      <w:r>
        <w:t xml:space="preserve">, equal to 69% of net income due to normal first-quarter seasonality.</w:t>
      </w:r>
    </w:p>
    <w:p>
      <w:pPr>
        <w:pStyle w:val="Compact"/>
        <w:numPr>
          <w:ilvl w:val="0"/>
          <w:numId w:val="1007"/>
        </w:numPr>
      </w:pPr>
      <w:r>
        <w:t xml:space="preserve">Full-year free-cash-flow conversion is expected to exceed 100% of net income.</w:t>
      </w:r>
    </w:p>
    <w:p>
      <w:pPr>
        <w:pStyle w:val="Compact"/>
        <w:numPr>
          <w:ilvl w:val="0"/>
          <w:numId w:val="1007"/>
        </w:numPr>
      </w:pPr>
      <w:r>
        <w:t xml:space="preserve">The company repurchased</w:t>
      </w:r>
      <w:r>
        <w:t xml:space="preserve"> </w:t>
      </w:r>
      <m:oMath>
        <m:r>
          <m:t>375</m:t>
        </m:r>
        <m:r>
          <m:t>m</m:t>
        </m:r>
        <m:r>
          <m:t>i</m:t>
        </m:r>
        <m:r>
          <m:t>l</m:t>
        </m:r>
        <m:r>
          <m:t>l</m:t>
        </m:r>
        <m:r>
          <m:t>i</m:t>
        </m:r>
        <m:r>
          <m:t>o</m:t>
        </m:r>
        <m:r>
          <m:t>n</m:t>
        </m:r>
        <m:r>
          <m:rPr>
            <m:sty m:val="p"/>
          </m:rPr>
          <m:t>*</m:t>
        </m:r>
        <m:r>
          <m:rPr>
            <m:sty m:val="p"/>
          </m:rPr>
          <m:t>*</m:t>
        </m:r>
        <m:r>
          <m:t>o</m:t>
        </m:r>
        <m:r>
          <m:t>f</m:t>
        </m:r>
        <m:r>
          <m:t>s</m:t>
        </m:r>
        <m:r>
          <m:t>t</m:t>
        </m:r>
        <m:r>
          <m:t>o</m:t>
        </m:r>
        <m:r>
          <m:t>c</m:t>
        </m:r>
        <m:r>
          <m:t>k</m:t>
        </m:r>
        <m:r>
          <m:t>i</m:t>
        </m:r>
        <m:r>
          <m:t>n</m:t>
        </m:r>
        <m:r>
          <m:t>1</m:t>
        </m:r>
        <m:r>
          <m:t>Q</m:t>
        </m:r>
        <m:r>
          <m:t>a</m:t>
        </m:r>
        <m:r>
          <m:t>n</m:t>
        </m:r>
        <m:r>
          <m:t>d</m:t>
        </m:r>
        <m:r>
          <m:t>t</m:t>
        </m:r>
        <m:r>
          <m:t>a</m:t>
        </m:r>
        <m:r>
          <m:t>r</m:t>
        </m:r>
        <m:r>
          <m:t>g</m:t>
        </m:r>
        <m:r>
          <m:t>e</m:t>
        </m:r>
        <m:r>
          <m:t>t</m:t>
        </m:r>
        <m:r>
          <m:t>s</m:t>
        </m:r>
        <m:r>
          <m:t>a</m:t>
        </m:r>
        <m:r>
          <m:t>p</m:t>
        </m:r>
        <m:r>
          <m:t>p</m:t>
        </m:r>
        <m:r>
          <m:t>r</m:t>
        </m:r>
        <m:r>
          <m:t>o</m:t>
        </m:r>
        <m:r>
          <m:t>x</m:t>
        </m:r>
        <m:r>
          <m:t>i</m:t>
        </m:r>
        <m:r>
          <m:t>m</m:t>
        </m:r>
        <m:r>
          <m:t>a</m:t>
        </m:r>
        <m:r>
          <m:t>t</m:t>
        </m:r>
        <m:r>
          <m:t>e</m:t>
        </m:r>
        <m:r>
          <m:t>l</m:t>
        </m:r>
        <m:r>
          <m:t>y</m:t>
        </m:r>
        <m:r>
          <m:rPr>
            <m:sty m:val="p"/>
          </m:rPr>
          <m:t>*</m:t>
        </m:r>
        <m:r>
          <m:rPr>
            <m:sty m:val="p"/>
          </m:rPr>
          <m:t>*</m:t>
        </m:r>
      </m:oMath>
      <w:r>
        <w:rPr>
          <w:b/>
          <w:bCs/>
        </w:rPr>
        <w:t xml:space="preserve">1.5 billion</w:t>
      </w:r>
      <w:r>
        <w:t xml:space="preserve"> </w:t>
      </w:r>
      <w:r>
        <w:t xml:space="preserve">for 2026.</w:t>
      </w:r>
    </w:p>
    <w:p>
      <w:pPr>
        <w:pStyle w:val="Compact"/>
        <w:numPr>
          <w:ilvl w:val="0"/>
          <w:numId w:val="1007"/>
        </w:numPr>
      </w:pPr>
      <w:r>
        <w:t xml:space="preserve">At March 31, total debt was</w:t>
      </w:r>
      <w:r>
        <w:t xml:space="preserve"> </w:t>
      </w:r>
      <w:r>
        <w:rPr>
          <w:b/>
          <w:bCs/>
        </w:rPr>
        <w:t xml:space="preserve">$9.15 billion</w:t>
      </w:r>
      <w:r>
        <w:t xml:space="preserve">, or</w:t>
      </w:r>
      <w:r>
        <w:t xml:space="preserve"> </w:t>
      </w:r>
      <w:r>
        <w:rPr>
          <w:b/>
          <w:bCs/>
        </w:rPr>
        <w:t xml:space="preserve">2.0x trailing EBITDA</w:t>
      </w:r>
      <w:r>
        <w:t xml:space="preserve">, while ITW had no borrowings under its $3 billion revolving credit facility.</w:t>
      </w:r>
    </w:p>
    <w:p>
      <w:pPr>
        <w:pStyle w:val="FirstParagraph"/>
      </w:pPr>
      <w:r>
        <w:t xml:space="preserve">The primary question is not financial capacity, but whether the company can simultaneously sustain premium margins, fund innovation, and rebuild durable organic growth.</w:t>
      </w:r>
    </w:p>
    <w:bookmarkEnd w:id="22"/>
    <w:bookmarkStart w:id="25" w:name="bottom-line"/>
    <w:p>
      <w:pPr>
        <w:pStyle w:val="Heading2"/>
      </w:pPr>
      <w:r>
        <w:t xml:space="preserve">Bottom line</w:t>
      </w:r>
    </w:p>
    <w:p>
      <w:pPr>
        <w:pStyle w:val="FirstParagraph"/>
      </w:pPr>
      <w:r>
        <w:rPr>
          <w:b/>
          <w:bCs/>
        </w:rPr>
        <w:t xml:space="preserve">The 2Q setup favors a solid report, but investors need confirmation of the growth narrative.</w:t>
      </w:r>
      <w:r>
        <w:t xml:space="preserve"> </w:t>
      </w:r>
      <w:r>
        <w:t xml:space="preserve">ITW’s 1Q results already showed that Enterprise Initiatives can produce margin gains in a low-growth environment. The more consequential issue for 2Q is whether the favorable orders in semiconductors, electronics, welding, and broader industrial capex are translating into clearly better organic growth—and whether Food Equipment’s 1Q weakness proves temporary.</w:t>
      </w:r>
    </w:p>
    <w:bookmarkStart w:id="23" w:name="bull-case"/>
    <w:p>
      <w:pPr>
        <w:pStyle w:val="Heading3"/>
      </w:pPr>
      <w:r>
        <w:t xml:space="preserve">Bull case</w:t>
      </w:r>
    </w:p>
    <w:p>
      <w:pPr>
        <w:pStyle w:val="Compact"/>
        <w:numPr>
          <w:ilvl w:val="0"/>
          <w:numId w:val="1008"/>
        </w:numPr>
      </w:pPr>
      <w:r>
        <w:t xml:space="preserve">Organic growth steps up decisively, led by Test &amp; Measurement &amp; Electronics and Welding.</w:t>
      </w:r>
    </w:p>
    <w:p>
      <w:pPr>
        <w:pStyle w:val="Compact"/>
        <w:numPr>
          <w:ilvl w:val="0"/>
          <w:numId w:val="1008"/>
        </w:numPr>
      </w:pPr>
      <w:r>
        <w:t xml:space="preserve">Food Equipment rebounds and margins improve by more than 100 bps sequentially at the enterprise level.</w:t>
      </w:r>
    </w:p>
    <w:p>
      <w:pPr>
        <w:pStyle w:val="Compact"/>
        <w:numPr>
          <w:ilvl w:val="0"/>
          <w:numId w:val="1008"/>
        </w:numPr>
      </w:pPr>
      <w:r>
        <w:t xml:space="preserve">Management maintains or raises 2026 guidance.</w:t>
      </w:r>
    </w:p>
    <w:p>
      <w:pPr>
        <w:pStyle w:val="Compact"/>
        <w:numPr>
          <w:ilvl w:val="0"/>
          <w:numId w:val="1008"/>
        </w:numPr>
      </w:pPr>
      <w:r>
        <w:t xml:space="preserve">Investors gain confidence that ITW can progress toward its longer-term 4%+ organic-growth ambition while preserving best-in-class margins.</w:t>
      </w:r>
    </w:p>
    <w:bookmarkEnd w:id="23"/>
    <w:bookmarkStart w:id="24" w:name="bear-case"/>
    <w:p>
      <w:pPr>
        <w:pStyle w:val="Heading3"/>
      </w:pPr>
      <w:r>
        <w:t xml:space="preserve">Bear case</w:t>
      </w:r>
    </w:p>
    <w:p>
      <w:pPr>
        <w:pStyle w:val="Compact"/>
        <w:numPr>
          <w:ilvl w:val="0"/>
          <w:numId w:val="1009"/>
        </w:numPr>
      </w:pPr>
      <w:r>
        <w:t xml:space="preserve">Capex strength proves narrow or short-lived.</w:t>
      </w:r>
    </w:p>
    <w:p>
      <w:pPr>
        <w:pStyle w:val="Compact"/>
        <w:numPr>
          <w:ilvl w:val="0"/>
          <w:numId w:val="1009"/>
        </w:numPr>
      </w:pPr>
      <w:r>
        <w:t xml:space="preserve">Food Equipment remains weak and Specialty/Construction drags persist.</w:t>
      </w:r>
    </w:p>
    <w:p>
      <w:pPr>
        <w:pStyle w:val="Compact"/>
        <w:numPr>
          <w:ilvl w:val="0"/>
          <w:numId w:val="1009"/>
        </w:numPr>
      </w:pPr>
      <w:r>
        <w:t xml:space="preserve">Tariff and macro uncertainty creates more customer caution than ITW’s current outlook assumes.</w:t>
      </w:r>
    </w:p>
    <w:p>
      <w:pPr>
        <w:pStyle w:val="Compact"/>
        <w:numPr>
          <w:ilvl w:val="0"/>
          <w:numId w:val="1009"/>
        </w:numPr>
      </w:pPr>
      <w:r>
        <w:t xml:space="preserve">EPS meets expectations, but the organic-growth trajectory and full-year guide lack upside.</w:t>
      </w:r>
    </w:p>
    <w:p>
      <w:pPr>
        <w:pStyle w:val="FirstParagraph"/>
      </w:pPr>
      <w:r>
        <w:rPr>
          <w:b/>
          <w:bCs/>
        </w:rPr>
        <w:t xml:space="preserve">Most important call questions:</w:t>
      </w:r>
      <w:r>
        <w:t xml:space="preserve"> </w:t>
      </w:r>
      <w:r>
        <w:t xml:space="preserve">current orders in semiconductors and Welding; Food Equipment’s institutional-demand recovery; China automotive cadence; tariff-driven pricing and demand effects; and the durability of the full-year 1%–3% organic-growth outlook.</w:t>
      </w:r>
    </w:p>
    <w:bookmarkEnd w:id="24"/>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2026-07-28T00:51:28Z</dcterms:created>
  <dcterms:modified xsi:type="dcterms:W3CDTF">2026-07-28T00:51:28Z</dcterms:modified>
</cp:coreProperties>
</file>

<file path=docProps/custom.xml><?xml version="1.0" encoding="utf-8"?>
<Properties xmlns="http://schemas.openxmlformats.org/officeDocument/2006/custom-properties" xmlns:vt="http://schemas.openxmlformats.org/officeDocument/2006/docPropsVTypes"/>
</file>