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Illinois Tool Works (ITW)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Illinois Tool Works Inc. (ITW)</w:t>
            </w:r>
          </w:p>
        </w:tc>
      </w:tr>
      <w:tr>
        <w:tc>
          <w:tcPr>
            <w:tcW w:type="dxa" w:w="4320"/>
          </w:tcPr>
          <w:p>
            <w:r>
              <w:rPr>
                <w:rFonts w:ascii="Calibri" w:hAnsi="Calibri"/>
                <w:b/>
                <w:sz w:val="22"/>
              </w:rPr>
              <w:t>Earnings Date</w:t>
            </w:r>
          </w:p>
        </w:tc>
        <w:tc>
          <w:tcPr>
            <w:tcW w:type="dxa" w:w="4320"/>
          </w:tcPr>
          <w:p>
            <w:r>
              <w:rPr>
                <w:rFonts w:ascii="Calibri" w:hAnsi="Calibri"/>
                <w:sz w:val="22"/>
              </w:rPr>
              <w:t>July 28, 2026 (pre-market, ~7:00 a.m. CDT; webcast 9:00 a.m. CDT)</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Prepared</w:t>
            </w:r>
          </w:p>
        </w:tc>
        <w:tc>
          <w:tcPr>
            <w:tcW w:type="dxa" w:w="4320"/>
          </w:tcPr>
          <w:p>
            <w:r>
              <w:rPr>
                <w:rFonts w:ascii="Calibri" w:hAnsi="Calibri"/>
                <w:sz w:val="22"/>
              </w:rPr>
              <w:t>July 27, 2026</w:t>
            </w:r>
          </w:p>
        </w:tc>
      </w:tr>
      <w:tr>
        <w:tc>
          <w:tcPr>
            <w:tcW w:type="dxa" w:w="4320"/>
          </w:tcPr>
          <w:p>
            <w:r>
              <w:rPr>
                <w:rFonts w:ascii="Calibri" w:hAnsi="Calibri"/>
                <w:b/>
                <w:sz w:val="22"/>
              </w:rPr>
              <w:t>Sector ETF Benchmark</w:t>
            </w:r>
          </w:p>
        </w:tc>
        <w:tc>
          <w:tcPr>
            <w:tcW w:type="dxa" w:w="4320"/>
          </w:tcPr>
          <w:p>
            <w:r>
              <w:rPr>
                <w:rFonts w:ascii="Calibri" w:hAnsi="Calibri"/>
                <w:sz w:val="22"/>
              </w:rPr>
              <w:t>XLI (Industrial Select Sector SPDR)</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is constructive but not euphoric — consensus is a manageable bar, the biggest swing factor is whether CapEx-segment order momentum (Welding, Test &amp; Measurement) translates into a Q2 organic growth beat above the ~2% consensus estimate.</w:t>
      </w:r>
    </w:p>
    <w:p>
      <w:r>
        <w:rPr>
          <w:rFonts w:ascii="Calibri" w:hAnsi="Calibri"/>
          <w:color w:val="525866"/>
          <w:sz w:val="22"/>
        </w:rPr>
        <w:t xml:space="preserve">Heading into Q2 2026, ITW faces a consensus bar of roughly </w:t>
      </w:r>
      <w:r>
        <w:rPr>
          <w:rFonts w:ascii="Calibri" w:hAnsi="Calibri"/>
          <w:b/>
          <w:color w:val="525866"/>
          <w:sz w:val="22"/>
        </w:rPr>
        <w:t>$2.81 operating EPS</w:t>
      </w:r>
      <w:r>
        <w:rPr>
          <w:rFonts w:ascii="Calibri" w:hAnsi="Calibri"/>
          <w:color w:val="525866"/>
          <w:sz w:val="22"/>
        </w:rPr>
        <w:t xml:space="preserve"> on ~$4.19B revenue and ~2.0% organic growth — a modest step up from Q1's 0.4% organic print that management itself flagged as tracking toward the high end of the 1–3% full-year range as of April. The guidance posture has shifted more confident since the April 30 Q1 call: management raised full-year GAAP EPS by $0.10 to $11.10–$11.50, cited April organic trends at the high end of the range, and explicitly noted that Welding and Test &amp; Measurement order rates are running </w:t>
      </w:r>
      <w:r>
        <w:rPr>
          <w:rFonts w:ascii="Calibri" w:hAnsi="Calibri"/>
          <w:b/>
          <w:color w:val="525866"/>
          <w:sz w:val="22"/>
        </w:rPr>
        <w:t>meaningfully above reported organic growth</w:t>
      </w:r>
      <w:r>
        <w:rPr>
          <w:rFonts w:ascii="Calibri" w:hAnsi="Calibri"/>
          <w:color w:val="525866"/>
          <w:sz w:val="22"/>
        </w:rPr>
        <w:t xml:space="preserve"> — upside not yet embedded in guidance. Estimate revisions have been essentially flat since the post-Q1 baseline (2Q EPS consensus moved from $2.804 to $2.807, revenue from $4.182B to $4.187B), suggesting the Street has not yet fully priced in the order-rate signal. The stock has recovered ~10% from the post-Q1 dip and trades at ~24x NTM P/E, roughly in line with its 5-year average, meaning the multiple is neither stretched nor a headwind. The key wildcard is </w:t>
      </w:r>
      <w:r>
        <w:rPr>
          <w:rFonts w:ascii="Calibri" w:hAnsi="Calibri"/>
          <w:b/>
          <w:color w:val="525866"/>
          <w:sz w:val="22"/>
        </w:rPr>
        <w:t>Food Equipment</w:t>
      </w:r>
      <w:r>
        <w:rPr>
          <w:rFonts w:ascii="Calibri" w:hAnsi="Calibri"/>
          <w:color w:val="525866"/>
          <w:sz w:val="22"/>
        </w:rPr>
        <w:t>: management guided for positive organic growth and margin improvement for the full year, but Q1 came in at –2.8% organic with margin down 180 bps — any further institutional demand softness here could offset strength in CapEx segments and pressure the overall organic growth print.</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low-to-moderate bar on organic growth (~2.0% vs. management's high-end April signal) and a fair bar on EPS ($2.81). </w:t>
      </w:r>
      <w:r>
        <w:rPr>
          <w:rFonts w:ascii="Calibri" w:hAnsi="Calibri"/>
          <w:b/>
          <w:color w:val="525866"/>
          <w:sz w:val="22"/>
        </w:rPr>
        <w:t>Operating margin is the bigger swing factor</w:t>
      </w:r>
      <w:r>
        <w:rPr>
          <w:rFonts w:ascii="Calibri" w:hAnsi="Calibri"/>
          <w:color w:val="525866"/>
          <w:sz w:val="22"/>
        </w:rPr>
        <w:t xml:space="preserve"> — Q1 came in at 25.4% and management guided for &gt;100 bps sequential improvement to ~26.5–27%, which consensus at 26.9% already reflects; any upside here would be incremental.</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 (vs. Q2 2025)</w:t>
            </w:r>
          </w:p>
        </w:tc>
        <w:tc>
          <w:tcPr>
            <w:tcW w:type="dxa" w:w="1234"/>
            <w:shd w:val="clear" w:color="auto" w:fill="3B4259"/>
          </w:tcPr>
          <w:p>
            <w:r>
              <w:rPr>
                <w:rFonts w:ascii="Calibri" w:hAnsi="Calibri"/>
                <w:b/>
                <w:color w:val="FFFFFF"/>
                <w:sz w:val="22"/>
              </w:rPr>
              <w:t>FY 2026 Guidance (last call)</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Revenue (Net Sales)</w:t>
            </w:r>
          </w:p>
        </w:tc>
        <w:tc>
          <w:tcPr>
            <w:tcW w:type="dxa" w:w="1234"/>
          </w:tcPr>
          <w:p>
            <w:r>
              <w:rPr>
                <w:rFonts w:ascii="Calibri" w:hAnsi="Calibri"/>
                <w:sz w:val="22"/>
              </w:rPr>
              <w:t>$4.016B</w:t>
            </w:r>
          </w:p>
        </w:tc>
        <w:tc>
          <w:tcPr>
            <w:tcW w:type="dxa" w:w="1234"/>
          </w:tcPr>
          <w:p>
            <w:r>
              <w:rPr>
                <w:rFonts w:ascii="Calibri" w:hAnsi="Calibri"/>
                <w:sz w:val="22"/>
              </w:rPr>
              <w:t>$4.053B</w:t>
            </w:r>
          </w:p>
        </w:tc>
        <w:tc>
          <w:tcPr>
            <w:tcW w:type="dxa" w:w="1234"/>
          </w:tcPr>
          <w:p>
            <w:r>
              <w:rPr>
                <w:rFonts w:ascii="Calibri" w:hAnsi="Calibri"/>
                <w:sz w:val="22"/>
              </w:rPr>
              <w:t>$4.187B</w:t>
            </w:r>
          </w:p>
        </w:tc>
        <w:tc>
          <w:tcPr>
            <w:tcW w:type="dxa" w:w="1234"/>
          </w:tcPr>
          <w:p>
            <w:r>
              <w:rPr>
                <w:rFonts w:ascii="Calibri" w:hAnsi="Calibri"/>
                <w:sz w:val="22"/>
              </w:rPr>
              <w:t>+3.3%</w:t>
            </w:r>
          </w:p>
        </w:tc>
        <w:tc>
          <w:tcPr>
            <w:tcW w:type="dxa" w:w="1234"/>
          </w:tcPr>
          <w:p>
            <w:r>
              <w:rPr>
                <w:rFonts w:ascii="Calibri" w:hAnsi="Calibri"/>
                <w:sz w:val="22"/>
              </w:rPr>
              <w:t>+2% to +4% total growth</w:t>
            </w:r>
          </w:p>
        </w:tc>
        <w:tc>
          <w:tcPr>
            <w:tcW w:type="dxa" w:w="1234"/>
          </w:tcPr>
          <w:p>
            <w:r>
              <w:rPr>
                <w:rFonts w:ascii="Calibri" w:hAnsi="Calibri"/>
                <w:sz w:val="22"/>
              </w:rPr>
              <w:t>~+0.3% above midpoint</w:t>
            </w:r>
          </w:p>
        </w:tc>
      </w:tr>
      <w:tr>
        <w:tc>
          <w:tcPr>
            <w:tcW w:type="dxa" w:w="1234"/>
          </w:tcPr>
          <w:p>
            <w:r>
              <w:rPr>
                <w:rFonts w:ascii="Calibri" w:hAnsi="Calibri"/>
                <w:sz w:val="22"/>
              </w:rPr>
              <w:t>Operating EPS (Diluted, Adj.)</w:t>
            </w:r>
          </w:p>
        </w:tc>
        <w:tc>
          <w:tcPr>
            <w:tcW w:type="dxa" w:w="1234"/>
          </w:tcPr>
          <w:p>
            <w:r>
              <w:rPr>
                <w:rFonts w:ascii="Calibri" w:hAnsi="Calibri"/>
                <w:sz w:val="22"/>
              </w:rPr>
              <w:t>$2.657</w:t>
            </w:r>
          </w:p>
        </w:tc>
        <w:tc>
          <w:tcPr>
            <w:tcW w:type="dxa" w:w="1234"/>
          </w:tcPr>
          <w:p>
            <w:r>
              <w:rPr>
                <w:rFonts w:ascii="Calibri" w:hAnsi="Calibri"/>
                <w:sz w:val="22"/>
              </w:rPr>
              <w:t>$2.578</w:t>
            </w:r>
          </w:p>
        </w:tc>
        <w:tc>
          <w:tcPr>
            <w:tcW w:type="dxa" w:w="1234"/>
          </w:tcPr>
          <w:p>
            <w:r>
              <w:rPr>
                <w:rFonts w:ascii="Calibri" w:hAnsi="Calibri"/>
                <w:sz w:val="22"/>
              </w:rPr>
              <w:t>$2.807</w:t>
            </w:r>
          </w:p>
        </w:tc>
        <w:tc>
          <w:tcPr>
            <w:tcW w:type="dxa" w:w="1234"/>
          </w:tcPr>
          <w:p>
            <w:r>
              <w:rPr>
                <w:rFonts w:ascii="Calibri" w:hAnsi="Calibri"/>
                <w:sz w:val="22"/>
              </w:rPr>
              <w:t>+8.9%</w:t>
            </w:r>
          </w:p>
        </w:tc>
        <w:tc>
          <w:tcPr>
            <w:tcW w:type="dxa" w:w="1234"/>
          </w:tcPr>
          <w:p>
            <w:r>
              <w:rPr>
                <w:rFonts w:ascii="Calibri" w:hAnsi="Calibri"/>
                <w:sz w:val="22"/>
              </w:rPr>
              <w:t>$11.10–$11.50 FY (midpoint $11.30)</w:t>
            </w:r>
          </w:p>
        </w:tc>
        <w:tc>
          <w:tcPr>
            <w:tcW w:type="dxa" w:w="1234"/>
          </w:tcPr>
          <w:p>
            <w:r>
              <w:rPr>
                <w:rFonts w:ascii="Calibri" w:hAnsi="Calibri"/>
                <w:sz w:val="22"/>
              </w:rPr>
              <w:t>~25% of FY midpoint; in line</w:t>
            </w:r>
          </w:p>
        </w:tc>
      </w:tr>
      <w:tr>
        <w:tc>
          <w:tcPr>
            <w:tcW w:type="dxa" w:w="1234"/>
          </w:tcPr>
          <w:p>
            <w:r>
              <w:rPr>
                <w:rFonts w:ascii="Calibri" w:hAnsi="Calibri"/>
                <w:sz w:val="22"/>
              </w:rPr>
              <w:t>Organic Growth (%)</w:t>
            </w:r>
          </w:p>
        </w:tc>
        <w:tc>
          <w:tcPr>
            <w:tcW w:type="dxa" w:w="1234"/>
          </w:tcPr>
          <w:p>
            <w:r>
              <w:rPr>
                <w:rFonts w:ascii="Calibri" w:hAnsi="Calibri"/>
                <w:sz w:val="22"/>
              </w:rPr>
              <w:t>+0.4%</w:t>
            </w:r>
          </w:p>
        </w:tc>
        <w:tc>
          <w:tcPr>
            <w:tcW w:type="dxa" w:w="1234"/>
          </w:tcPr>
          <w:p>
            <w:r>
              <w:rPr>
                <w:rFonts w:ascii="Calibri" w:hAnsi="Calibri"/>
                <w:sz w:val="22"/>
              </w:rPr>
              <w:t>–0.4%</w:t>
            </w:r>
          </w:p>
        </w:tc>
        <w:tc>
          <w:tcPr>
            <w:tcW w:type="dxa" w:w="1234"/>
          </w:tcPr>
          <w:p>
            <w:r>
              <w:rPr>
                <w:rFonts w:ascii="Calibri" w:hAnsi="Calibri"/>
                <w:sz w:val="22"/>
              </w:rPr>
              <w:t>+2.0%</w:t>
            </w:r>
          </w:p>
        </w:tc>
        <w:tc>
          <w:tcPr>
            <w:tcW w:type="dxa" w:w="1234"/>
          </w:tcPr>
          <w:p>
            <w:r>
              <w:rPr>
                <w:rFonts w:ascii="Calibri" w:hAnsi="Calibri"/>
                <w:sz w:val="22"/>
              </w:rPr>
              <w:t>+240 bps YoY</w:t>
            </w:r>
          </w:p>
        </w:tc>
        <w:tc>
          <w:tcPr>
            <w:tcW w:type="dxa" w:w="1234"/>
          </w:tcPr>
          <w:p>
            <w:r>
              <w:rPr>
                <w:rFonts w:ascii="Calibri" w:hAnsi="Calibri"/>
                <w:sz w:val="22"/>
              </w:rPr>
              <w:t>+1% to +3% FY (midpoint +2%)</w:t>
            </w:r>
          </w:p>
        </w:tc>
        <w:tc>
          <w:tcPr>
            <w:tcW w:type="dxa" w:w="1234"/>
          </w:tcPr>
          <w:p>
            <w:r>
              <w:rPr>
                <w:rFonts w:ascii="Calibri" w:hAnsi="Calibri"/>
                <w:sz w:val="22"/>
              </w:rPr>
              <w:t>At midpoint</w:t>
            </w:r>
          </w:p>
        </w:tc>
      </w:tr>
      <w:tr>
        <w:tc>
          <w:tcPr>
            <w:tcW w:type="dxa" w:w="1234"/>
          </w:tcPr>
          <w:p>
            <w:r>
              <w:rPr>
                <w:rFonts w:ascii="Calibri" w:hAnsi="Calibri"/>
                <w:sz w:val="22"/>
              </w:rPr>
              <w:t>Operating Margin (Adj., %)</w:t>
            </w:r>
          </w:p>
        </w:tc>
        <w:tc>
          <w:tcPr>
            <w:tcW w:type="dxa" w:w="1234"/>
          </w:tcPr>
          <w:p>
            <w:r>
              <w:rPr>
                <w:rFonts w:ascii="Calibri" w:hAnsi="Calibri"/>
                <w:sz w:val="22"/>
              </w:rPr>
              <w:t>25.4%</w:t>
            </w:r>
          </w:p>
        </w:tc>
        <w:tc>
          <w:tcPr>
            <w:tcW w:type="dxa" w:w="1234"/>
          </w:tcPr>
          <w:p>
            <w:r>
              <w:rPr>
                <w:rFonts w:ascii="Calibri" w:hAnsi="Calibri"/>
                <w:sz w:val="22"/>
              </w:rPr>
              <w:t>26.4%</w:t>
            </w:r>
          </w:p>
        </w:tc>
        <w:tc>
          <w:tcPr>
            <w:tcW w:type="dxa" w:w="1234"/>
          </w:tcPr>
          <w:p>
            <w:r>
              <w:rPr>
                <w:rFonts w:ascii="Calibri" w:hAnsi="Calibri"/>
                <w:sz w:val="22"/>
              </w:rPr>
              <w:t>26.9%</w:t>
            </w:r>
          </w:p>
        </w:tc>
        <w:tc>
          <w:tcPr>
            <w:tcW w:type="dxa" w:w="1234"/>
          </w:tcPr>
          <w:p>
            <w:r>
              <w:rPr>
                <w:rFonts w:ascii="Calibri" w:hAnsi="Calibri"/>
                <w:sz w:val="22"/>
              </w:rPr>
              <w:t>+50 bps YoY</w:t>
            </w:r>
          </w:p>
        </w:tc>
        <w:tc>
          <w:tcPr>
            <w:tcW w:type="dxa" w:w="1234"/>
          </w:tcPr>
          <w:p>
            <w:r>
              <w:rPr>
                <w:rFonts w:ascii="Calibri" w:hAnsi="Calibri"/>
                <w:sz w:val="22"/>
              </w:rPr>
              <w:t>26.5%–27.5% FY (midpoint 27.0%)</w:t>
            </w:r>
          </w:p>
        </w:tc>
        <w:tc>
          <w:tcPr>
            <w:tcW w:type="dxa" w:w="1234"/>
          </w:tcPr>
          <w:p>
            <w:r>
              <w:rPr>
                <w:rFonts w:ascii="Calibri" w:hAnsi="Calibri"/>
                <w:sz w:val="22"/>
              </w:rPr>
              <w:t>–10 bps below midpoint</w:t>
            </w:r>
          </w:p>
        </w:tc>
      </w:tr>
    </w:tbl>
    <w:p>
      <w:r>
        <w:rPr>
          <w:rFonts w:ascii="Calibri" w:hAnsi="Calibri"/>
          <w:i/>
          <w:color w:val="525866"/>
          <w:sz w:val="22"/>
        </w:rPr>
        <w:t>Sources: Visible Alpha Consensus and Actuals Data (Net Sales, EPS-Diluted - Operating, Organic growth, Operating margin - operating). Q1 2026 actuals from ITW Q1 2026 Earnings Release (April 30, 2026). FY 2026 guidance from ITW Q1 2026 Earnings Call transcript.</w:t>
      </w:r>
    </w:p>
    <w:p>
      <w:pPr>
        <w:pStyle w:val="Heading3"/>
      </w:pPr>
      <w:r>
        <w:rPr>
          <w:rFonts w:ascii="Calibri" w:hAnsi="Calibri"/>
          <w:b/>
          <w:color w:val="3B4259"/>
          <w:sz w:val="24"/>
        </w:rPr>
        <w:t>Table 2 — Beat / Miss History (Last 8 Quarters)</w:t>
      </w:r>
    </w:p>
    <w:p>
      <w:pPr>
        <w:pStyle w:val="Heading4"/>
      </w:pPr>
      <w:r>
        <w:rPr>
          <w:rFonts w:ascii="Calibri" w:hAnsi="Calibri"/>
          <w:b/>
          <w:color w:val="3B4259"/>
          <w:sz w:val="22"/>
        </w:rPr>
        <w:t>Top KPI #1: Operating EPS (Diluted, Adjusted)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$2.543</w:t>
            </w:r>
          </w:p>
        </w:tc>
        <w:tc>
          <w:tcPr>
            <w:tcW w:type="dxa" w:w="1728"/>
          </w:tcPr>
          <w:p>
            <w:r>
              <w:rPr>
                <w:rFonts w:ascii="Calibri" w:hAnsi="Calibri"/>
                <w:sz w:val="22"/>
              </w:rPr>
              <w:t>$2.481</w:t>
            </w:r>
          </w:p>
        </w:tc>
        <w:tc>
          <w:tcPr>
            <w:tcW w:type="dxa" w:w="1728"/>
          </w:tcPr>
          <w:p>
            <w:r>
              <w:rPr>
                <w:rFonts w:ascii="Calibri" w:hAnsi="Calibri"/>
                <w:sz w:val="22"/>
              </w:rPr>
              <w:t>+2.5%</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$2.657*</w:t>
            </w:r>
          </w:p>
        </w:tc>
        <w:tc>
          <w:tcPr>
            <w:tcW w:type="dxa" w:w="1728"/>
          </w:tcPr>
          <w:p>
            <w:r>
              <w:rPr>
                <w:rFonts w:ascii="Calibri" w:hAnsi="Calibri"/>
                <w:sz w:val="22"/>
              </w:rPr>
              <w:t>$2.446</w:t>
            </w:r>
          </w:p>
        </w:tc>
        <w:tc>
          <w:tcPr>
            <w:tcW w:type="dxa" w:w="1728"/>
          </w:tcPr>
          <w:p>
            <w:r>
              <w:rPr>
                <w:rFonts w:ascii="Calibri" w:hAnsi="Calibri"/>
                <w:sz w:val="22"/>
              </w:rPr>
              <w:t>+8.6%*</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$2.536</w:t>
            </w:r>
          </w:p>
        </w:tc>
        <w:tc>
          <w:tcPr>
            <w:tcW w:type="dxa" w:w="1728"/>
          </w:tcPr>
          <w:p>
            <w:r>
              <w:rPr>
                <w:rFonts w:ascii="Calibri" w:hAnsi="Calibri"/>
                <w:sz w:val="22"/>
              </w:rPr>
              <w:t>$2.501</w:t>
            </w:r>
          </w:p>
        </w:tc>
        <w:tc>
          <w:tcPr>
            <w:tcW w:type="dxa" w:w="1728"/>
          </w:tcPr>
          <w:p>
            <w:r>
              <w:rPr>
                <w:rFonts w:ascii="Calibri" w:hAnsi="Calibri"/>
                <w:sz w:val="22"/>
              </w:rPr>
              <w:t>+1.4%</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$2.377</w:t>
            </w:r>
          </w:p>
        </w:tc>
        <w:tc>
          <w:tcPr>
            <w:tcW w:type="dxa" w:w="1728"/>
          </w:tcPr>
          <w:p>
            <w:r>
              <w:rPr>
                <w:rFonts w:ascii="Calibri" w:hAnsi="Calibri"/>
                <w:sz w:val="22"/>
              </w:rPr>
              <w:t>$2.352</w:t>
            </w:r>
          </w:p>
        </w:tc>
        <w:tc>
          <w:tcPr>
            <w:tcW w:type="dxa" w:w="1728"/>
          </w:tcPr>
          <w:p>
            <w:r>
              <w:rPr>
                <w:rFonts w:ascii="Calibri" w:hAnsi="Calibri"/>
                <w:sz w:val="22"/>
              </w:rPr>
              <w:t>+1.1%</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$2.578</w:t>
            </w:r>
          </w:p>
        </w:tc>
        <w:tc>
          <w:tcPr>
            <w:tcW w:type="dxa" w:w="1728"/>
          </w:tcPr>
          <w:p>
            <w:r>
              <w:rPr>
                <w:rFonts w:ascii="Calibri" w:hAnsi="Calibri"/>
                <w:sz w:val="22"/>
              </w:rPr>
              <w:t>$2.551</w:t>
            </w:r>
          </w:p>
        </w:tc>
        <w:tc>
          <w:tcPr>
            <w:tcW w:type="dxa" w:w="1728"/>
          </w:tcPr>
          <w:p>
            <w:r>
              <w:rPr>
                <w:rFonts w:ascii="Calibri" w:hAnsi="Calibri"/>
                <w:sz w:val="22"/>
              </w:rPr>
              <w:t>+1.1%</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$2.815</w:t>
            </w:r>
          </w:p>
        </w:tc>
        <w:tc>
          <w:tcPr>
            <w:tcW w:type="dxa" w:w="1728"/>
          </w:tcPr>
          <w:p>
            <w:r>
              <w:rPr>
                <w:rFonts w:ascii="Calibri" w:hAnsi="Calibri"/>
                <w:sz w:val="22"/>
              </w:rPr>
              <w:t>$2.710</w:t>
            </w:r>
          </w:p>
        </w:tc>
        <w:tc>
          <w:tcPr>
            <w:tcW w:type="dxa" w:w="1728"/>
          </w:tcPr>
          <w:p>
            <w:r>
              <w:rPr>
                <w:rFonts w:ascii="Calibri" w:hAnsi="Calibri"/>
                <w:sz w:val="22"/>
              </w:rPr>
              <w:t>+3.9%</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$2.722</w:t>
            </w:r>
          </w:p>
        </w:tc>
        <w:tc>
          <w:tcPr>
            <w:tcW w:type="dxa" w:w="1728"/>
          </w:tcPr>
          <w:p>
            <w:r>
              <w:rPr>
                <w:rFonts w:ascii="Calibri" w:hAnsi="Calibri"/>
                <w:sz w:val="22"/>
              </w:rPr>
              <w:t>$2.684</w:t>
            </w:r>
          </w:p>
        </w:tc>
        <w:tc>
          <w:tcPr>
            <w:tcW w:type="dxa" w:w="1728"/>
          </w:tcPr>
          <w:p>
            <w:r>
              <w:rPr>
                <w:rFonts w:ascii="Calibri" w:hAnsi="Calibri"/>
                <w:sz w:val="22"/>
              </w:rPr>
              <w:t>+1.4%</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$2.657</w:t>
            </w:r>
          </w:p>
        </w:tc>
        <w:tc>
          <w:tcPr>
            <w:tcW w:type="dxa" w:w="1728"/>
          </w:tcPr>
          <w:p>
            <w:r>
              <w:rPr>
                <w:rFonts w:ascii="Calibri" w:hAnsi="Calibri"/>
                <w:sz w:val="22"/>
              </w:rPr>
              <w:t>$2.559</w:t>
            </w:r>
          </w:p>
        </w:tc>
        <w:tc>
          <w:tcPr>
            <w:tcW w:type="dxa" w:w="1728"/>
          </w:tcPr>
          <w:p>
            <w:r>
              <w:rPr>
                <w:rFonts w:ascii="Calibri" w:hAnsi="Calibri"/>
                <w:sz w:val="22"/>
              </w:rPr>
              <w:t>+3.8%</w:t>
            </w:r>
          </w:p>
        </w:tc>
        <w:tc>
          <w:tcPr>
            <w:tcW w:type="dxa" w:w="1728"/>
          </w:tcPr>
          <w:p>
            <w:r>
              <w:rPr>
                <w:rFonts w:ascii="Calibri" w:hAnsi="Calibri"/>
                <w:b/>
                <w:color w:val="30A46C"/>
                <w:sz w:val="22"/>
              </w:rPr>
              <w:t>Beat</w:t>
            </w:r>
          </w:p>
        </w:tc>
      </w:tr>
    </w:tbl>
    <w:p>
      <w:r>
        <w:rPr>
          <w:rFonts w:ascii="Calibri" w:hAnsi="Calibri"/>
          <w:i/>
          <w:color w:val="525866"/>
          <w:sz w:val="22"/>
        </w:rPr>
        <w:t>* Q3 2024 reported EPS reflects a large one-time item in the VA actuals; underlying beat was more modest. Source: Visible Alpha Consensus and Actuals Data.</w:t>
      </w:r>
    </w:p>
    <w:p>
      <w:pPr>
        <w:pStyle w:val="Heading4"/>
      </w:pPr>
      <w:r>
        <w:rPr>
          <w:rFonts w:ascii="Calibri" w:hAnsi="Calibri"/>
          <w:b/>
          <w:color w:val="3B4259"/>
          <w:sz w:val="22"/>
        </w:rPr>
        <w:t>Top KPI #2: Organic Revenue Growth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(bps)</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–0.1%</w:t>
            </w:r>
          </w:p>
        </w:tc>
        <w:tc>
          <w:tcPr>
            <w:tcW w:type="dxa" w:w="1728"/>
          </w:tcPr>
          <w:p>
            <w:r>
              <w:rPr>
                <w:rFonts w:ascii="Calibri" w:hAnsi="Calibri"/>
                <w:sz w:val="22"/>
              </w:rPr>
              <w:t>+0.7%</w:t>
            </w:r>
          </w:p>
        </w:tc>
        <w:tc>
          <w:tcPr>
            <w:tcW w:type="dxa" w:w="1728"/>
          </w:tcPr>
          <w:p>
            <w:r>
              <w:rPr>
                <w:rFonts w:ascii="Calibri" w:hAnsi="Calibri"/>
                <w:sz w:val="22"/>
              </w:rPr>
              <w:t>–80 bps</w:t>
            </w:r>
          </w:p>
        </w:tc>
        <w:tc>
          <w:tcPr>
            <w:tcW w:type="dxa" w:w="1728"/>
          </w:tcPr>
          <w:p>
            <w:r>
              <w:rPr>
                <w:rFonts w:ascii="Calibri" w:hAnsi="Calibri"/>
                <w:b/>
                <w:color w:val="E5484D"/>
                <w:sz w:val="22"/>
              </w:rPr>
              <w:t>Miss</w:t>
            </w:r>
          </w:p>
        </w:tc>
      </w:tr>
      <w:tr>
        <w:tc>
          <w:tcPr>
            <w:tcW w:type="dxa" w:w="1728"/>
          </w:tcPr>
          <w:p>
            <w:r>
              <w:rPr>
                <w:rFonts w:ascii="Calibri" w:hAnsi="Calibri"/>
                <w:sz w:val="22"/>
              </w:rPr>
              <w:t>Q3 2024</w:t>
            </w:r>
          </w:p>
        </w:tc>
        <w:tc>
          <w:tcPr>
            <w:tcW w:type="dxa" w:w="1728"/>
          </w:tcPr>
          <w:p>
            <w:r>
              <w:rPr>
                <w:rFonts w:ascii="Calibri" w:hAnsi="Calibri"/>
                <w:sz w:val="22"/>
              </w:rPr>
              <w:t>–1.4%</w:t>
            </w:r>
          </w:p>
        </w:tc>
        <w:tc>
          <w:tcPr>
            <w:tcW w:type="dxa" w:w="1728"/>
          </w:tcPr>
          <w:p>
            <w:r>
              <w:rPr>
                <w:rFonts w:ascii="Calibri" w:hAnsi="Calibri"/>
                <w:sz w:val="22"/>
              </w:rPr>
              <w:t>+0.2%</w:t>
            </w:r>
          </w:p>
        </w:tc>
        <w:tc>
          <w:tcPr>
            <w:tcW w:type="dxa" w:w="1728"/>
          </w:tcPr>
          <w:p>
            <w:r>
              <w:rPr>
                <w:rFonts w:ascii="Calibri" w:hAnsi="Calibri"/>
                <w:sz w:val="22"/>
              </w:rPr>
              <w:t>–160 bps</w:t>
            </w:r>
          </w:p>
        </w:tc>
        <w:tc>
          <w:tcPr>
            <w:tcW w:type="dxa" w:w="1728"/>
          </w:tcPr>
          <w:p>
            <w:r>
              <w:rPr>
                <w:rFonts w:ascii="Calibri" w:hAnsi="Calibri"/>
                <w:b/>
                <w:color w:val="E5484D"/>
                <w:sz w:val="22"/>
              </w:rPr>
              <w:t>Miss</w:t>
            </w:r>
          </w:p>
        </w:tc>
      </w:tr>
      <w:tr>
        <w:tc>
          <w:tcPr>
            <w:tcW w:type="dxa" w:w="1728"/>
          </w:tcPr>
          <w:p>
            <w:r>
              <w:rPr>
                <w:rFonts w:ascii="Calibri" w:hAnsi="Calibri"/>
                <w:sz w:val="22"/>
              </w:rPr>
              <w:t>Q4 2024</w:t>
            </w:r>
          </w:p>
        </w:tc>
        <w:tc>
          <w:tcPr>
            <w:tcW w:type="dxa" w:w="1728"/>
          </w:tcPr>
          <w:p>
            <w:r>
              <w:rPr>
                <w:rFonts w:ascii="Calibri" w:hAnsi="Calibri"/>
                <w:sz w:val="22"/>
              </w:rPr>
              <w:t>–0.5%</w:t>
            </w:r>
          </w:p>
        </w:tc>
        <w:tc>
          <w:tcPr>
            <w:tcW w:type="dxa" w:w="1728"/>
          </w:tcPr>
          <w:p>
            <w:r>
              <w:rPr>
                <w:rFonts w:ascii="Calibri" w:hAnsi="Calibri"/>
                <w:sz w:val="22"/>
              </w:rPr>
              <w:t>+0.3%</w:t>
            </w:r>
          </w:p>
        </w:tc>
        <w:tc>
          <w:tcPr>
            <w:tcW w:type="dxa" w:w="1728"/>
          </w:tcPr>
          <w:p>
            <w:r>
              <w:rPr>
                <w:rFonts w:ascii="Calibri" w:hAnsi="Calibri"/>
                <w:sz w:val="22"/>
              </w:rPr>
              <w:t>–80 bps</w:t>
            </w:r>
          </w:p>
        </w:tc>
        <w:tc>
          <w:tcPr>
            <w:tcW w:type="dxa" w:w="1728"/>
          </w:tcPr>
          <w:p>
            <w:r>
              <w:rPr>
                <w:rFonts w:ascii="Calibri" w:hAnsi="Calibri"/>
                <w:b/>
                <w:color w:val="E5484D"/>
                <w:sz w:val="22"/>
              </w:rPr>
              <w:t>Miss</w:t>
            </w:r>
          </w:p>
        </w:tc>
      </w:tr>
      <w:tr>
        <w:tc>
          <w:tcPr>
            <w:tcW w:type="dxa" w:w="1728"/>
          </w:tcPr>
          <w:p>
            <w:r>
              <w:rPr>
                <w:rFonts w:ascii="Calibri" w:hAnsi="Calibri"/>
                <w:sz w:val="22"/>
              </w:rPr>
              <w:t>Q1 2025</w:t>
            </w:r>
          </w:p>
        </w:tc>
        <w:tc>
          <w:tcPr>
            <w:tcW w:type="dxa" w:w="1728"/>
          </w:tcPr>
          <w:p>
            <w:r>
              <w:rPr>
                <w:rFonts w:ascii="Calibri" w:hAnsi="Calibri"/>
                <w:sz w:val="22"/>
              </w:rPr>
              <w:t>–1.6%</w:t>
            </w:r>
          </w:p>
        </w:tc>
        <w:tc>
          <w:tcPr>
            <w:tcW w:type="dxa" w:w="1728"/>
          </w:tcPr>
          <w:p>
            <w:r>
              <w:rPr>
                <w:rFonts w:ascii="Calibri" w:hAnsi="Calibri"/>
                <w:sz w:val="22"/>
              </w:rPr>
              <w:t>–0.8%</w:t>
            </w:r>
          </w:p>
        </w:tc>
        <w:tc>
          <w:tcPr>
            <w:tcW w:type="dxa" w:w="1728"/>
          </w:tcPr>
          <w:p>
            <w:r>
              <w:rPr>
                <w:rFonts w:ascii="Calibri" w:hAnsi="Calibri"/>
                <w:sz w:val="22"/>
              </w:rPr>
              <w:t>–80 bps</w:t>
            </w:r>
          </w:p>
        </w:tc>
        <w:tc>
          <w:tcPr>
            <w:tcW w:type="dxa" w:w="1728"/>
          </w:tcPr>
          <w:p>
            <w:r>
              <w:rPr>
                <w:rFonts w:ascii="Calibri" w:hAnsi="Calibri"/>
                <w:b/>
                <w:color w:val="E5484D"/>
                <w:sz w:val="22"/>
              </w:rPr>
              <w:t>Miss</w:t>
            </w:r>
          </w:p>
        </w:tc>
      </w:tr>
      <w:tr>
        <w:tc>
          <w:tcPr>
            <w:tcW w:type="dxa" w:w="1728"/>
          </w:tcPr>
          <w:p>
            <w:r>
              <w:rPr>
                <w:rFonts w:ascii="Calibri" w:hAnsi="Calibri"/>
                <w:sz w:val="22"/>
              </w:rPr>
              <w:t>Q2 2025</w:t>
            </w:r>
          </w:p>
        </w:tc>
        <w:tc>
          <w:tcPr>
            <w:tcW w:type="dxa" w:w="1728"/>
          </w:tcPr>
          <w:p>
            <w:r>
              <w:rPr>
                <w:rFonts w:ascii="Calibri" w:hAnsi="Calibri"/>
                <w:sz w:val="22"/>
              </w:rPr>
              <w:t>–0.4%</w:t>
            </w:r>
          </w:p>
        </w:tc>
        <w:tc>
          <w:tcPr>
            <w:tcW w:type="dxa" w:w="1728"/>
          </w:tcPr>
          <w:p>
            <w:r>
              <w:rPr>
                <w:rFonts w:ascii="Calibri" w:hAnsi="Calibri"/>
                <w:sz w:val="22"/>
              </w:rPr>
              <w:t>–0.6%</w:t>
            </w:r>
          </w:p>
        </w:tc>
        <w:tc>
          <w:tcPr>
            <w:tcW w:type="dxa" w:w="1728"/>
          </w:tcPr>
          <w:p>
            <w:r>
              <w:rPr>
                <w:rFonts w:ascii="Calibri" w:hAnsi="Calibri"/>
                <w:sz w:val="22"/>
              </w:rPr>
              <w:t>+20 bps</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+0.7%</w:t>
            </w:r>
          </w:p>
        </w:tc>
        <w:tc>
          <w:tcPr>
            <w:tcW w:type="dxa" w:w="1728"/>
          </w:tcPr>
          <w:p>
            <w:r>
              <w:rPr>
                <w:rFonts w:ascii="Calibri" w:hAnsi="Calibri"/>
                <w:sz w:val="22"/>
              </w:rPr>
              <w:t>+1.7%</w:t>
            </w:r>
          </w:p>
        </w:tc>
        <w:tc>
          <w:tcPr>
            <w:tcW w:type="dxa" w:w="1728"/>
          </w:tcPr>
          <w:p>
            <w:r>
              <w:rPr>
                <w:rFonts w:ascii="Calibri" w:hAnsi="Calibri"/>
                <w:sz w:val="22"/>
              </w:rPr>
              <w:t>–100 bps</w:t>
            </w:r>
          </w:p>
        </w:tc>
        <w:tc>
          <w:tcPr>
            <w:tcW w:type="dxa" w:w="1728"/>
          </w:tcPr>
          <w:p>
            <w:r>
              <w:rPr>
                <w:rFonts w:ascii="Calibri" w:hAnsi="Calibri"/>
                <w:b/>
                <w:color w:val="E5484D"/>
                <w:sz w:val="22"/>
              </w:rPr>
              <w:t>Miss</w:t>
            </w:r>
          </w:p>
        </w:tc>
      </w:tr>
      <w:tr>
        <w:tc>
          <w:tcPr>
            <w:tcW w:type="dxa" w:w="1728"/>
          </w:tcPr>
          <w:p>
            <w:r>
              <w:rPr>
                <w:rFonts w:ascii="Calibri" w:hAnsi="Calibri"/>
                <w:sz w:val="22"/>
              </w:rPr>
              <w:t>Q4 2025</w:t>
            </w:r>
          </w:p>
        </w:tc>
        <w:tc>
          <w:tcPr>
            <w:tcW w:type="dxa" w:w="1728"/>
          </w:tcPr>
          <w:p>
            <w:r>
              <w:rPr>
                <w:rFonts w:ascii="Calibri" w:hAnsi="Calibri"/>
                <w:sz w:val="22"/>
              </w:rPr>
              <w:t>+1.3%</w:t>
            </w:r>
          </w:p>
        </w:tc>
        <w:tc>
          <w:tcPr>
            <w:tcW w:type="dxa" w:w="1728"/>
          </w:tcPr>
          <w:p>
            <w:r>
              <w:rPr>
                <w:rFonts w:ascii="Calibri" w:hAnsi="Calibri"/>
                <w:sz w:val="22"/>
              </w:rPr>
              <w:t>+1.4%</w:t>
            </w:r>
          </w:p>
        </w:tc>
        <w:tc>
          <w:tcPr>
            <w:tcW w:type="dxa" w:w="1728"/>
          </w:tcPr>
          <w:p>
            <w:r>
              <w:rPr>
                <w:rFonts w:ascii="Calibri" w:hAnsi="Calibri"/>
                <w:sz w:val="22"/>
              </w:rPr>
              <w:t>–10 bps</w:t>
            </w:r>
          </w:p>
        </w:tc>
        <w:tc>
          <w:tcPr>
            <w:tcW w:type="dxa" w:w="1728"/>
          </w:tcPr>
          <w:p>
            <w:r>
              <w:rPr>
                <w:rFonts w:ascii="Calibri" w:hAnsi="Calibri"/>
                <w:sz w:val="22"/>
              </w:rPr>
              <w:t>In Line</w:t>
            </w:r>
          </w:p>
        </w:tc>
      </w:tr>
      <w:tr>
        <w:tc>
          <w:tcPr>
            <w:tcW w:type="dxa" w:w="1728"/>
          </w:tcPr>
          <w:p>
            <w:r>
              <w:rPr>
                <w:rFonts w:ascii="Calibri" w:hAnsi="Calibri"/>
                <w:sz w:val="22"/>
              </w:rPr>
              <w:t>Q1 2026</w:t>
            </w:r>
          </w:p>
        </w:tc>
        <w:tc>
          <w:tcPr>
            <w:tcW w:type="dxa" w:w="1728"/>
          </w:tcPr>
          <w:p>
            <w:r>
              <w:rPr>
                <w:rFonts w:ascii="Calibri" w:hAnsi="Calibri"/>
                <w:sz w:val="22"/>
              </w:rPr>
              <w:t>+0.4%</w:t>
            </w:r>
          </w:p>
        </w:tc>
        <w:tc>
          <w:tcPr>
            <w:tcW w:type="dxa" w:w="1728"/>
          </w:tcPr>
          <w:p>
            <w:r>
              <w:rPr>
                <w:rFonts w:ascii="Calibri" w:hAnsi="Calibri"/>
                <w:sz w:val="22"/>
              </w:rPr>
              <w:t>+1.6%</w:t>
            </w:r>
          </w:p>
        </w:tc>
        <w:tc>
          <w:tcPr>
            <w:tcW w:type="dxa" w:w="1728"/>
          </w:tcPr>
          <w:p>
            <w:r>
              <w:rPr>
                <w:rFonts w:ascii="Calibri" w:hAnsi="Calibri"/>
                <w:sz w:val="22"/>
              </w:rPr>
              <w:t>–120 bps</w:t>
            </w:r>
          </w:p>
        </w:tc>
        <w:tc>
          <w:tcPr>
            <w:tcW w:type="dxa" w:w="1728"/>
          </w:tcPr>
          <w:p>
            <w:r>
              <w:rPr>
                <w:rFonts w:ascii="Calibri" w:hAnsi="Calibri"/>
                <w:b/>
                <w:color w:val="E5484D"/>
                <w:sz w:val="22"/>
              </w:rPr>
              <w:t>Miss</w:t>
            </w:r>
          </w:p>
        </w:tc>
      </w:tr>
    </w:tbl>
    <w:p>
      <w:r>
        <w:rPr>
          <w:rFonts w:ascii="Calibri" w:hAnsi="Calibri"/>
          <w:b/>
          <w:color w:val="525866"/>
          <w:sz w:val="22"/>
        </w:rPr>
        <w:t xml:space="preserve">Pattern: </w:t>
      </w:r>
      <w:r>
        <w:rPr>
          <w:rFonts w:ascii="Calibri" w:hAnsi="Calibri"/>
          <w:color w:val="525866"/>
          <w:sz w:val="22"/>
        </w:rPr>
        <w:t>ITW has beaten EPS consensus in all 8 of the last 8 quarters, typically by 1–4%. Organic growth, however, has missed consensus in 6 of the last 8 quarters — the Street has consistently set the organic bar too high. This pattern suggests EPS beats are likely but organic growth surprises are harder to come by.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has moved modestly higher since last earnings (EPS raised $0.10 on a lower tax rate), while organic growth and margin guidance are unchanged. Tone has shifted </w:t>
      </w:r>
      <w:r>
        <w:rPr>
          <w:rFonts w:ascii="Calibri" w:hAnsi="Calibri"/>
          <w:b/>
          <w:color w:val="525866"/>
          <w:sz w:val="22"/>
        </w:rPr>
        <w:t>more confident</w:t>
      </w:r>
      <w:r>
        <w:rPr>
          <w:rFonts w:ascii="Calibri" w:hAnsi="Calibri"/>
          <w:color w:val="525866"/>
          <w:sz w:val="22"/>
        </w:rPr>
        <w:t xml:space="preserve"> — management explicitly stated they are more confident in the 1–3% organic growth range today than at the prior call, citing April trends at the high end.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Call, Apr 30)</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GAAP EPS</w:t>
            </w:r>
          </w:p>
        </w:tc>
        <w:tc>
          <w:tcPr>
            <w:tcW w:type="dxa" w:w="1728"/>
          </w:tcPr>
          <w:p>
            <w:r>
              <w:rPr>
                <w:rFonts w:ascii="Calibri" w:hAnsi="Calibri"/>
                <w:sz w:val="22"/>
              </w:rPr>
              <w:t>$11.10–$11.50 (midpoint $11.30; raised $0.10 from prior $11.00–$11.40)</w:t>
            </w:r>
          </w:p>
        </w:tc>
        <w:tc>
          <w:tcPr>
            <w:tcW w:type="dxa" w:w="1728"/>
          </w:tcPr>
          <w:p>
            <w:r>
              <w:rPr>
                <w:rFonts w:ascii="Calibri" w:hAnsi="Calibri"/>
                <w:sz w:val="22"/>
              </w:rPr>
              <w:t>—</w:t>
            </w:r>
          </w:p>
        </w:tc>
        <w:tc>
          <w:tcPr>
            <w:tcW w:type="dxa" w:w="1728"/>
          </w:tcPr>
          <w:p>
            <w:r>
              <w:rPr>
                <w:rFonts w:ascii="Calibri" w:hAnsi="Calibri"/>
                <w:sz w:val="22"/>
              </w:rPr>
              <w:t>$11.32 (Operating EPS)</w:t>
            </w:r>
          </w:p>
        </w:tc>
        <w:tc>
          <w:tcPr>
            <w:tcW w:type="dxa" w:w="1728"/>
          </w:tcPr>
          <w:p>
            <w:r>
              <w:rPr>
                <w:rFonts w:ascii="Calibri" w:hAnsi="Calibri"/>
                <w:sz w:val="22"/>
              </w:rPr>
              <w:t>↑ Raised at Q1 earnings Apr 30; driven by lower projected tax rate (23–24%). No further post-earnings revision.</w:t>
            </w:r>
          </w:p>
        </w:tc>
      </w:tr>
      <w:tr>
        <w:tc>
          <w:tcPr>
            <w:tcW w:type="dxa" w:w="1728"/>
          </w:tcPr>
          <w:p>
            <w:r>
              <w:rPr>
                <w:rFonts w:ascii="Calibri" w:hAnsi="Calibri"/>
                <w:sz w:val="22"/>
              </w:rPr>
              <w:t>FY 2026 Total Revenue Growth</w:t>
            </w:r>
          </w:p>
        </w:tc>
        <w:tc>
          <w:tcPr>
            <w:tcW w:type="dxa" w:w="1728"/>
          </w:tcPr>
          <w:p>
            <w:r>
              <w:rPr>
                <w:rFonts w:ascii="Calibri" w:hAnsi="Calibri"/>
                <w:sz w:val="22"/>
              </w:rPr>
              <w:t>+2% to +4%</w:t>
            </w:r>
          </w:p>
        </w:tc>
        <w:tc>
          <w:tcPr>
            <w:tcW w:type="dxa" w:w="1728"/>
          </w:tcPr>
          <w:p>
            <w:r>
              <w:rPr>
                <w:rFonts w:ascii="Calibri" w:hAnsi="Calibri"/>
                <w:sz w:val="22"/>
              </w:rPr>
              <w:t>—</w:t>
            </w:r>
          </w:p>
        </w:tc>
        <w:tc>
          <w:tcPr>
            <w:tcW w:type="dxa" w:w="1728"/>
          </w:tcPr>
          <w:p>
            <w:r>
              <w:rPr>
                <w:rFonts w:ascii="Calibri" w:hAnsi="Calibri"/>
                <w:sz w:val="22"/>
              </w:rPr>
              <w:t>~+3.1% (implied by $16.60B consensus)</w:t>
            </w:r>
          </w:p>
        </w:tc>
        <w:tc>
          <w:tcPr>
            <w:tcW w:type="dxa" w:w="1728"/>
          </w:tcPr>
          <w:p>
            <w:r>
              <w:rPr>
                <w:rFonts w:ascii="Calibri" w:hAnsi="Calibri"/>
                <w:sz w:val="22"/>
              </w:rPr>
              <w:t>Unchanged. Consensus sits at midpoint.</w:t>
            </w:r>
          </w:p>
        </w:tc>
      </w:tr>
      <w:tr>
        <w:tc>
          <w:tcPr>
            <w:tcW w:type="dxa" w:w="1728"/>
          </w:tcPr>
          <w:p>
            <w:r>
              <w:rPr>
                <w:rFonts w:ascii="Calibri" w:hAnsi="Calibri"/>
                <w:sz w:val="22"/>
              </w:rPr>
              <w:t>FY 2026 Organic Growth</w:t>
            </w:r>
          </w:p>
        </w:tc>
        <w:tc>
          <w:tcPr>
            <w:tcW w:type="dxa" w:w="1728"/>
          </w:tcPr>
          <w:p>
            <w:r>
              <w:rPr>
                <w:rFonts w:ascii="Calibri" w:hAnsi="Calibri"/>
                <w:sz w:val="22"/>
              </w:rPr>
              <w:t>+1% to +3%</w:t>
            </w:r>
          </w:p>
        </w:tc>
        <w:tc>
          <w:tcPr>
            <w:tcW w:type="dxa" w:w="1728"/>
          </w:tcPr>
          <w:p>
            <w:r>
              <w:rPr>
                <w:rFonts w:ascii="Calibri" w:hAnsi="Calibri"/>
                <w:sz w:val="22"/>
              </w:rPr>
              <w:t>—</w:t>
            </w:r>
          </w:p>
        </w:tc>
        <w:tc>
          <w:tcPr>
            <w:tcW w:type="dxa" w:w="1728"/>
          </w:tcPr>
          <w:p>
            <w:r>
              <w:rPr>
                <w:rFonts w:ascii="Calibri" w:hAnsi="Calibri"/>
                <w:sz w:val="22"/>
              </w:rPr>
              <w:t>~+2.1%</w:t>
            </w:r>
          </w:p>
        </w:tc>
        <w:tc>
          <w:tcPr>
            <w:tcW w:type="dxa" w:w="1728"/>
          </w:tcPr>
          <w:p>
            <w:r>
              <w:rPr>
                <w:rFonts w:ascii="Calibri" w:hAnsi="Calibri"/>
                <w:sz w:val="22"/>
              </w:rPr>
              <w:t>Unchanged. Management noted April trending toward high end; order rates in Welding/T&amp;M running ahead of reported growth.</w:t>
            </w:r>
          </w:p>
        </w:tc>
      </w:tr>
      <w:tr>
        <w:tc>
          <w:tcPr>
            <w:tcW w:type="dxa" w:w="1728"/>
          </w:tcPr>
          <w:p>
            <w:r>
              <w:rPr>
                <w:rFonts w:ascii="Calibri" w:hAnsi="Calibri"/>
                <w:sz w:val="22"/>
              </w:rPr>
              <w:t>FY 2026 Operating Margin (Adj.)</w:t>
            </w:r>
          </w:p>
        </w:tc>
        <w:tc>
          <w:tcPr>
            <w:tcW w:type="dxa" w:w="1728"/>
          </w:tcPr>
          <w:p>
            <w:r>
              <w:rPr>
                <w:rFonts w:ascii="Calibri" w:hAnsi="Calibri"/>
                <w:sz w:val="22"/>
              </w:rPr>
              <w:t>26.5%–27.5% (~100 bps expansion)</w:t>
            </w:r>
          </w:p>
        </w:tc>
        <w:tc>
          <w:tcPr>
            <w:tcW w:type="dxa" w:w="1728"/>
          </w:tcPr>
          <w:p>
            <w:r>
              <w:rPr>
                <w:rFonts w:ascii="Calibri" w:hAnsi="Calibri"/>
                <w:sz w:val="22"/>
              </w:rPr>
              <w:t>—</w:t>
            </w:r>
          </w:p>
        </w:tc>
        <w:tc>
          <w:tcPr>
            <w:tcW w:type="dxa" w:w="1728"/>
          </w:tcPr>
          <w:p>
            <w:r>
              <w:rPr>
                <w:rFonts w:ascii="Calibri" w:hAnsi="Calibri"/>
                <w:sz w:val="22"/>
              </w:rPr>
              <w:t>~26.9%</w:t>
            </w:r>
          </w:p>
        </w:tc>
        <w:tc>
          <w:tcPr>
            <w:tcW w:type="dxa" w:w="1728"/>
          </w:tcPr>
          <w:p>
            <w:r>
              <w:rPr>
                <w:rFonts w:ascii="Calibri" w:hAnsi="Calibri"/>
                <w:sz w:val="22"/>
              </w:rPr>
              <w:t>Unchanged. Enterprise Initiatives expected to contribute ~100 bps. Incrementals guided mid-to-high 40s.</w:t>
            </w:r>
          </w:p>
        </w:tc>
      </w:tr>
      <w:tr>
        <w:tc>
          <w:tcPr>
            <w:tcW w:type="dxa" w:w="1728"/>
          </w:tcPr>
          <w:p>
            <w:r>
              <w:rPr>
                <w:rFonts w:ascii="Calibri" w:hAnsi="Calibri"/>
                <w:sz w:val="22"/>
              </w:rPr>
              <w:t>FY 2026 Free Cash Flow</w:t>
            </w:r>
          </w:p>
        </w:tc>
        <w:tc>
          <w:tcPr>
            <w:tcW w:type="dxa" w:w="1728"/>
          </w:tcPr>
          <w:p>
            <w:r>
              <w:rPr>
                <w:rFonts w:ascii="Calibri" w:hAnsi="Calibri"/>
                <w:sz w:val="22"/>
              </w:rPr>
              <w:t>&gt;100% of net income</w:t>
            </w:r>
          </w:p>
        </w:tc>
        <w:tc>
          <w:tcPr>
            <w:tcW w:type="dxa" w:w="1728"/>
          </w:tcPr>
          <w:p>
            <w:r>
              <w:rPr>
                <w:rFonts w:ascii="Calibri" w:hAnsi="Calibri"/>
                <w:sz w:val="22"/>
              </w:rPr>
              <w:t>—</w:t>
            </w:r>
          </w:p>
        </w:tc>
        <w:tc>
          <w:tcPr>
            <w:tcW w:type="dxa" w:w="1728"/>
          </w:tcPr>
          <w:p>
            <w:r>
              <w:rPr>
                <w:rFonts w:ascii="Calibri" w:hAnsi="Calibri"/>
                <w:sz w:val="22"/>
              </w:rPr>
              <w:t>N/A — not tracked in VA</w:t>
            </w:r>
          </w:p>
        </w:tc>
        <w:tc>
          <w:tcPr>
            <w:tcW w:type="dxa" w:w="1728"/>
          </w:tcPr>
          <w:p>
            <w:r>
              <w:rPr>
                <w:rFonts w:ascii="Calibri" w:hAnsi="Calibri"/>
                <w:sz w:val="22"/>
              </w:rPr>
              <w:t>Unchanged. Share repurchases on track for ~$1.5B in 2026.</w:t>
            </w:r>
          </w:p>
        </w:tc>
      </w:tr>
      <w:tr>
        <w:tc>
          <w:tcPr>
            <w:tcW w:type="dxa" w:w="1728"/>
          </w:tcPr>
          <w:p>
            <w:r>
              <w:rPr>
                <w:rFonts w:ascii="Calibri" w:hAnsi="Calibri"/>
                <w:sz w:val="22"/>
              </w:rPr>
              <w:t>Q2 2026 Operating Margin (Implied)</w:t>
            </w:r>
          </w:p>
        </w:tc>
        <w:tc>
          <w:tcPr>
            <w:tcW w:type="dxa" w:w="1728"/>
          </w:tcPr>
          <w:p>
            <w:r>
              <w:rPr>
                <w:rFonts w:ascii="Calibri" w:hAnsi="Calibri"/>
                <w:sz w:val="22"/>
              </w:rPr>
              <w:t>~26.5–27.0% (&gt;100 bps sequential improvement from Q1’s 25.4%)</w:t>
            </w:r>
          </w:p>
        </w:tc>
        <w:tc>
          <w:tcPr>
            <w:tcW w:type="dxa" w:w="1728"/>
          </w:tcPr>
          <w:p>
            <w:r>
              <w:rPr>
                <w:rFonts w:ascii="Calibri" w:hAnsi="Calibri"/>
                <w:sz w:val="22"/>
              </w:rPr>
              <w:t>—</w:t>
            </w:r>
          </w:p>
        </w:tc>
        <w:tc>
          <w:tcPr>
            <w:tcW w:type="dxa" w:w="1728"/>
          </w:tcPr>
          <w:p>
            <w:r>
              <w:rPr>
                <w:rFonts w:ascii="Calibri" w:hAnsi="Calibri"/>
                <w:sz w:val="22"/>
              </w:rPr>
              <w:t>~26.9%</w:t>
            </w:r>
          </w:p>
        </w:tc>
        <w:tc>
          <w:tcPr>
            <w:tcW w:type="dxa" w:w="1728"/>
          </w:tcPr>
          <w:p>
            <w:r>
              <w:rPr>
                <w:rFonts w:ascii="Calibri" w:hAnsi="Calibri"/>
                <w:sz w:val="22"/>
              </w:rPr>
              <w:t>Implied from Q1 call; management guided Q2 EPS contribution ~25% of FY. Consensus aligns.</w:t>
            </w:r>
          </w:p>
        </w:tc>
      </w:tr>
    </w:tbl>
    <w:p>
      <w:r>
        <w:rPr>
          <w:rFonts w:ascii="Calibri" w:hAnsi="Calibri"/>
          <w:i/>
          <w:color w:val="525866"/>
          <w:sz w:val="22"/>
        </w:rPr>
        <w:t>Sources: ITW Q1 2026 Earnings Call transcript (April 30, 2026); ITW Q1 2026 Earnings Release (April 30, 2026); Visible Alpha Consensus and Actuals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remarkably stable since the post-Q1 baseline — Q2 EPS consensus is essentially flat (+0.1%) and revenue is up just +0.1% — suggesting the Street has not yet incorporated the order-rate upside signal management flagged. </w:t>
      </w:r>
      <w:r>
        <w:rPr>
          <w:rFonts w:ascii="Calibri" w:hAnsi="Calibri"/>
          <w:b/>
          <w:color w:val="525866"/>
          <w:sz w:val="22"/>
        </w:rPr>
        <w:t>The gap between order rates and reported organic growth in Welding and T&amp;M is the key unpriced risk to the upside.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&amp; Period</w:t>
            </w:r>
          </w:p>
        </w:tc>
        <w:tc>
          <w:tcPr>
            <w:tcW w:type="dxa" w:w="1080"/>
            <w:shd w:val="clear" w:color="auto" w:fill="3B4259"/>
          </w:tcPr>
          <w:p>
            <w:r>
              <w:rPr>
                <w:rFonts w:ascii="Calibri" w:hAnsi="Calibri"/>
                <w:b/>
                <w:color w:val="FFFFFF"/>
                <w:sz w:val="22"/>
              </w:rPr>
              <w:t>Estimate (May 8, 2026 — ~5 days post Q1 print)</w:t>
            </w:r>
          </w:p>
        </w:tc>
        <w:tc>
          <w:tcPr>
            <w:tcW w:type="dxa" w:w="1080"/>
            <w:shd w:val="clear" w:color="auto" w:fill="3B4259"/>
          </w:tcPr>
          <w:p>
            <w:r>
              <w:rPr>
                <w:rFonts w:ascii="Calibri" w:hAnsi="Calibri"/>
                <w:b/>
                <w:color w:val="FFFFFF"/>
                <w:sz w:val="22"/>
              </w:rPr>
              <w:t>Current Consensus (Jul 27,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Midpoint</w:t>
            </w:r>
          </w:p>
        </w:tc>
      </w:tr>
      <w:tr>
        <w:tc>
          <w:tcPr>
            <w:tcW w:type="dxa" w:w="1080"/>
          </w:tcPr>
          <w:p>
            <w:r>
              <w:rPr>
                <w:rFonts w:ascii="Calibri" w:hAnsi="Calibri"/>
                <w:sz w:val="22"/>
              </w:rPr>
              <w:t>Operating EPS — Q2 2026</w:t>
            </w:r>
          </w:p>
        </w:tc>
        <w:tc>
          <w:tcPr>
            <w:tcW w:type="dxa" w:w="1080"/>
          </w:tcPr>
          <w:p>
            <w:r>
              <w:rPr>
                <w:rFonts w:ascii="Calibri" w:hAnsi="Calibri"/>
                <w:sz w:val="22"/>
              </w:rPr>
              <w:t>$2.804</w:t>
            </w:r>
          </w:p>
        </w:tc>
        <w:tc>
          <w:tcPr>
            <w:tcW w:type="dxa" w:w="1080"/>
          </w:tcPr>
          <w:p>
            <w:r>
              <w:rPr>
                <w:rFonts w:ascii="Calibri" w:hAnsi="Calibri"/>
                <w:sz w:val="22"/>
              </w:rPr>
              <w:t>$2.807</w:t>
            </w:r>
          </w:p>
        </w:tc>
        <w:tc>
          <w:tcPr>
            <w:tcW w:type="dxa" w:w="1080"/>
          </w:tcPr>
          <w:p>
            <w:r>
              <w:rPr>
                <w:rFonts w:ascii="Calibri" w:hAnsi="Calibri"/>
                <w:sz w:val="22"/>
              </w:rPr>
              <w:t>+0.1%</w:t>
            </w:r>
          </w:p>
        </w:tc>
        <w:tc>
          <w:tcPr>
            <w:tcW w:type="dxa" w:w="1080"/>
          </w:tcPr>
          <w:p>
            <w:r>
              <w:rPr>
                <w:rFonts w:ascii="Calibri" w:hAnsi="Calibri"/>
                <w:sz w:val="22"/>
              </w:rPr>
              <w:t>~25% of FY midpoint ($11.30) = ~$2.83</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–0.8% below implied guidance</w:t>
            </w:r>
          </w:p>
        </w:tc>
      </w:tr>
      <w:tr>
        <w:tc>
          <w:tcPr>
            <w:tcW w:type="dxa" w:w="1080"/>
          </w:tcPr>
          <w:p>
            <w:r>
              <w:rPr>
                <w:rFonts w:ascii="Calibri" w:hAnsi="Calibri"/>
                <w:sz w:val="22"/>
              </w:rPr>
              <w:t>Operating EPS — FY 2026</w:t>
            </w:r>
          </w:p>
        </w:tc>
        <w:tc>
          <w:tcPr>
            <w:tcW w:type="dxa" w:w="1080"/>
          </w:tcPr>
          <w:p>
            <w:r>
              <w:rPr>
                <w:rFonts w:ascii="Calibri" w:hAnsi="Calibri"/>
                <w:sz w:val="22"/>
              </w:rPr>
              <w:t>$11.326</w:t>
            </w:r>
          </w:p>
        </w:tc>
        <w:tc>
          <w:tcPr>
            <w:tcW w:type="dxa" w:w="1080"/>
          </w:tcPr>
          <w:p>
            <w:r>
              <w:rPr>
                <w:rFonts w:ascii="Calibri" w:hAnsi="Calibri"/>
                <w:sz w:val="22"/>
              </w:rPr>
              <w:t>$11.316</w:t>
            </w:r>
          </w:p>
        </w:tc>
        <w:tc>
          <w:tcPr>
            <w:tcW w:type="dxa" w:w="1080"/>
          </w:tcPr>
          <w:p>
            <w:r>
              <w:rPr>
                <w:rFonts w:ascii="Calibri" w:hAnsi="Calibri"/>
                <w:sz w:val="22"/>
              </w:rPr>
              <w:t>–0.1%</w:t>
            </w:r>
          </w:p>
        </w:tc>
        <w:tc>
          <w:tcPr>
            <w:tcW w:type="dxa" w:w="1080"/>
          </w:tcPr>
          <w:p>
            <w:r>
              <w:rPr>
                <w:rFonts w:ascii="Calibri" w:hAnsi="Calibri"/>
                <w:sz w:val="22"/>
              </w:rPr>
              <w:t>$11.10–$11.50 (midpoint $11.30)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+0.1% above midpoint</w:t>
            </w:r>
          </w:p>
        </w:tc>
      </w:tr>
      <w:tr>
        <w:tc>
          <w:tcPr>
            <w:tcW w:type="dxa" w:w="1080"/>
          </w:tcPr>
          <w:p>
            <w:r>
              <w:rPr>
                <w:rFonts w:ascii="Calibri" w:hAnsi="Calibri"/>
                <w:sz w:val="22"/>
              </w:rPr>
              <w:t>Revenue — Q2 2026</w:t>
            </w:r>
          </w:p>
        </w:tc>
        <w:tc>
          <w:tcPr>
            <w:tcW w:type="dxa" w:w="1080"/>
          </w:tcPr>
          <w:p>
            <w:r>
              <w:rPr>
                <w:rFonts w:ascii="Calibri" w:hAnsi="Calibri"/>
                <w:sz w:val="22"/>
              </w:rPr>
              <w:t>$4.182B</w:t>
            </w:r>
          </w:p>
        </w:tc>
        <w:tc>
          <w:tcPr>
            <w:tcW w:type="dxa" w:w="1080"/>
          </w:tcPr>
          <w:p>
            <w:r>
              <w:rPr>
                <w:rFonts w:ascii="Calibri" w:hAnsi="Calibri"/>
                <w:sz w:val="22"/>
              </w:rPr>
              <w:t>$4.187B</w:t>
            </w:r>
          </w:p>
        </w:tc>
        <w:tc>
          <w:tcPr>
            <w:tcW w:type="dxa" w:w="1080"/>
          </w:tcPr>
          <w:p>
            <w:r>
              <w:rPr>
                <w:rFonts w:ascii="Calibri" w:hAnsi="Calibri"/>
                <w:sz w:val="22"/>
              </w:rPr>
              <w:t>+0.1%</w:t>
            </w:r>
          </w:p>
        </w:tc>
        <w:tc>
          <w:tcPr>
            <w:tcW w:type="dxa" w:w="1080"/>
          </w:tcPr>
          <w:p>
            <w:r>
              <w:rPr>
                <w:rFonts w:ascii="Calibri" w:hAnsi="Calibri"/>
                <w:sz w:val="22"/>
              </w:rPr>
              <w:t>+2% to +4% total growth (FY)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~+3.3% YoY; at midpoint</w:t>
            </w:r>
          </w:p>
        </w:tc>
      </w:tr>
      <w:tr>
        <w:tc>
          <w:tcPr>
            <w:tcW w:type="dxa" w:w="1080"/>
          </w:tcPr>
          <w:p>
            <w:r>
              <w:rPr>
                <w:rFonts w:ascii="Calibri" w:hAnsi="Calibri"/>
                <w:sz w:val="22"/>
              </w:rPr>
              <w:t>Revenue — FY 2026</w:t>
            </w:r>
          </w:p>
        </w:tc>
        <w:tc>
          <w:tcPr>
            <w:tcW w:type="dxa" w:w="1080"/>
          </w:tcPr>
          <w:p>
            <w:r>
              <w:rPr>
                <w:rFonts w:ascii="Calibri" w:hAnsi="Calibri"/>
                <w:sz w:val="22"/>
              </w:rPr>
              <w:t>$16.600B</w:t>
            </w:r>
          </w:p>
        </w:tc>
        <w:tc>
          <w:tcPr>
            <w:tcW w:type="dxa" w:w="1080"/>
          </w:tcPr>
          <w:p>
            <w:r>
              <w:rPr>
                <w:rFonts w:ascii="Calibri" w:hAnsi="Calibri"/>
                <w:sz w:val="22"/>
              </w:rPr>
              <w:t>$16.596B</w:t>
            </w:r>
          </w:p>
        </w:tc>
        <w:tc>
          <w:tcPr>
            <w:tcW w:type="dxa" w:w="1080"/>
          </w:tcPr>
          <w:p>
            <w:r>
              <w:rPr>
                <w:rFonts w:ascii="Calibri" w:hAnsi="Calibri"/>
                <w:sz w:val="22"/>
              </w:rPr>
              <w:t>0.0%</w:t>
            </w:r>
          </w:p>
        </w:tc>
        <w:tc>
          <w:tcPr>
            <w:tcW w:type="dxa" w:w="1080"/>
          </w:tcPr>
          <w:p>
            <w:r>
              <w:rPr>
                <w:rFonts w:ascii="Calibri" w:hAnsi="Calibri"/>
                <w:sz w:val="22"/>
              </w:rPr>
              <w:t>+2% to +4% total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~+3.1% YoY; at midpoint</w:t>
            </w:r>
          </w:p>
        </w:tc>
      </w:tr>
      <w:tr>
        <w:tc>
          <w:tcPr>
            <w:tcW w:type="dxa" w:w="1080"/>
          </w:tcPr>
          <w:p>
            <w:r>
              <w:rPr>
                <w:rFonts w:ascii="Calibri" w:hAnsi="Calibri"/>
                <w:sz w:val="22"/>
              </w:rPr>
              <w:t>Organic Growth — Q2 2026</w:t>
            </w:r>
          </w:p>
        </w:tc>
        <w:tc>
          <w:tcPr>
            <w:tcW w:type="dxa" w:w="1080"/>
          </w:tcPr>
          <w:p>
            <w:r>
              <w:rPr>
                <w:rFonts w:ascii="Calibri" w:hAnsi="Calibri"/>
                <w:sz w:val="22"/>
              </w:rPr>
              <w:t>+1.99%</w:t>
            </w:r>
          </w:p>
        </w:tc>
        <w:tc>
          <w:tcPr>
            <w:tcW w:type="dxa" w:w="1080"/>
          </w:tcPr>
          <w:p>
            <w:r>
              <w:rPr>
                <w:rFonts w:ascii="Calibri" w:hAnsi="Calibri"/>
                <w:sz w:val="22"/>
              </w:rPr>
              <w:t>+1.98%</w:t>
            </w:r>
          </w:p>
        </w:tc>
        <w:tc>
          <w:tcPr>
            <w:tcW w:type="dxa" w:w="1080"/>
          </w:tcPr>
          <w:p>
            <w:r>
              <w:rPr>
                <w:rFonts w:ascii="Calibri" w:hAnsi="Calibri"/>
                <w:sz w:val="22"/>
              </w:rPr>
              <w:t>–0.1%</w:t>
            </w:r>
          </w:p>
        </w:tc>
        <w:tc>
          <w:tcPr>
            <w:tcW w:type="dxa" w:w="1080"/>
          </w:tcPr>
          <w:p>
            <w:r>
              <w:rPr>
                <w:rFonts w:ascii="Calibri" w:hAnsi="Calibri"/>
                <w:sz w:val="22"/>
              </w:rPr>
              <w:t>+1% to +3% FY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At midpoint</w:t>
            </w:r>
          </w:p>
        </w:tc>
      </w:tr>
      <w:tr>
        <w:tc>
          <w:tcPr>
            <w:tcW w:type="dxa" w:w="1080"/>
          </w:tcPr>
          <w:p>
            <w:r>
              <w:rPr>
                <w:rFonts w:ascii="Calibri" w:hAnsi="Calibri"/>
                <w:sz w:val="22"/>
              </w:rPr>
              <w:t>Organic Growth — FY 2026</w:t>
            </w:r>
          </w:p>
        </w:tc>
        <w:tc>
          <w:tcPr>
            <w:tcW w:type="dxa" w:w="1080"/>
          </w:tcPr>
          <w:p>
            <w:r>
              <w:rPr>
                <w:rFonts w:ascii="Calibri" w:hAnsi="Calibri"/>
                <w:sz w:val="22"/>
              </w:rPr>
              <w:t>+2.05%</w:t>
            </w:r>
          </w:p>
        </w:tc>
        <w:tc>
          <w:tcPr>
            <w:tcW w:type="dxa" w:w="1080"/>
          </w:tcPr>
          <w:p>
            <w:r>
              <w:rPr>
                <w:rFonts w:ascii="Calibri" w:hAnsi="Calibri"/>
                <w:sz w:val="22"/>
              </w:rPr>
              <w:t>+2.06%</w:t>
            </w:r>
          </w:p>
        </w:tc>
        <w:tc>
          <w:tcPr>
            <w:tcW w:type="dxa" w:w="1080"/>
          </w:tcPr>
          <w:p>
            <w:r>
              <w:rPr>
                <w:rFonts w:ascii="Calibri" w:hAnsi="Calibri"/>
                <w:sz w:val="22"/>
              </w:rPr>
              <w:t>+0.1%</w:t>
            </w:r>
          </w:p>
        </w:tc>
        <w:tc>
          <w:tcPr>
            <w:tcW w:type="dxa" w:w="1080"/>
          </w:tcPr>
          <w:p>
            <w:r>
              <w:rPr>
                <w:rFonts w:ascii="Calibri" w:hAnsi="Calibri"/>
                <w:sz w:val="22"/>
              </w:rPr>
              <w:t>+1% to +3% FY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At midpoint</w:t>
            </w:r>
          </w:p>
        </w:tc>
      </w:tr>
      <w:tr>
        <w:tc>
          <w:tcPr>
            <w:tcW w:type="dxa" w:w="1080"/>
          </w:tcPr>
          <w:p>
            <w:r>
              <w:rPr>
                <w:rFonts w:ascii="Calibri" w:hAnsi="Calibri"/>
                <w:sz w:val="22"/>
              </w:rPr>
              <w:t>Operating Margin — Q2 2026</w:t>
            </w:r>
          </w:p>
        </w:tc>
        <w:tc>
          <w:tcPr>
            <w:tcW w:type="dxa" w:w="1080"/>
          </w:tcPr>
          <w:p>
            <w:r>
              <w:rPr>
                <w:rFonts w:ascii="Calibri" w:hAnsi="Calibri"/>
                <w:sz w:val="22"/>
              </w:rPr>
              <w:t>26.87%</w:t>
            </w:r>
          </w:p>
        </w:tc>
        <w:tc>
          <w:tcPr>
            <w:tcW w:type="dxa" w:w="1080"/>
          </w:tcPr>
          <w:p>
            <w:r>
              <w:rPr>
                <w:rFonts w:ascii="Calibri" w:hAnsi="Calibri"/>
                <w:sz w:val="22"/>
              </w:rPr>
              <w:t>26.90%</w:t>
            </w:r>
          </w:p>
        </w:tc>
        <w:tc>
          <w:tcPr>
            <w:tcW w:type="dxa" w:w="1080"/>
          </w:tcPr>
          <w:p>
            <w:r>
              <w:rPr>
                <w:rFonts w:ascii="Calibri" w:hAnsi="Calibri"/>
                <w:sz w:val="22"/>
              </w:rPr>
              <w:t>+3 bps</w:t>
            </w:r>
          </w:p>
        </w:tc>
        <w:tc>
          <w:tcPr>
            <w:tcW w:type="dxa" w:w="1080"/>
          </w:tcPr>
          <w:p>
            <w:r>
              <w:rPr>
                <w:rFonts w:ascii="Calibri" w:hAnsi="Calibri"/>
                <w:sz w:val="22"/>
              </w:rPr>
              <w:t>~26.5–27.0% (Q2 implied)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~–10 bps below midpoint</w:t>
            </w:r>
          </w:p>
        </w:tc>
      </w:tr>
      <w:tr>
        <w:tc>
          <w:tcPr>
            <w:tcW w:type="dxa" w:w="1080"/>
          </w:tcPr>
          <w:p>
            <w:r>
              <w:rPr>
                <w:rFonts w:ascii="Calibri" w:hAnsi="Calibri"/>
                <w:sz w:val="22"/>
              </w:rPr>
              <w:t>Operating Margin — FY 2026</w:t>
            </w:r>
          </w:p>
        </w:tc>
        <w:tc>
          <w:tcPr>
            <w:tcW w:type="dxa" w:w="1080"/>
          </w:tcPr>
          <w:p>
            <w:r>
              <w:rPr>
                <w:rFonts w:ascii="Calibri" w:hAnsi="Calibri"/>
                <w:sz w:val="22"/>
              </w:rPr>
              <w:t>26.90%</w:t>
            </w:r>
          </w:p>
        </w:tc>
        <w:tc>
          <w:tcPr>
            <w:tcW w:type="dxa" w:w="1080"/>
          </w:tcPr>
          <w:p>
            <w:r>
              <w:rPr>
                <w:rFonts w:ascii="Calibri" w:hAnsi="Calibri"/>
                <w:sz w:val="22"/>
              </w:rPr>
              <w:t>26.88%</w:t>
            </w:r>
          </w:p>
        </w:tc>
        <w:tc>
          <w:tcPr>
            <w:tcW w:type="dxa" w:w="1080"/>
          </w:tcPr>
          <w:p>
            <w:r>
              <w:rPr>
                <w:rFonts w:ascii="Calibri" w:hAnsi="Calibri"/>
                <w:sz w:val="22"/>
              </w:rPr>
              <w:t>–2 bps</w:t>
            </w:r>
          </w:p>
        </w:tc>
        <w:tc>
          <w:tcPr>
            <w:tcW w:type="dxa" w:w="1080"/>
          </w:tcPr>
          <w:p>
            <w:r>
              <w:rPr>
                <w:rFonts w:ascii="Calibri" w:hAnsi="Calibri"/>
                <w:sz w:val="22"/>
              </w:rPr>
              <w:t>26.5%–27.5% (midpoint 27.0%)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–12 bps below midpoint</w:t>
            </w:r>
          </w:p>
        </w:tc>
      </w:tr>
    </w:tbl>
    <w:p>
      <w:r>
        <w:rPr>
          <w:rFonts w:ascii="Calibri" w:hAnsi="Calibri"/>
          <w:i/>
          <w:color w:val="525866"/>
          <w:sz w:val="22"/>
        </w:rPr>
        <w:t>Estimates have been essentially frozen since the post-Q1 baseline, with no meaningful revision in any direction. The Street is waiting for the Q2 print to validate whether the order-rate momentum in Welding and Test &amp; Measurement translates into a reported organic growth beat. The implied Q2 EPS from guidance (~$2.83) sits slightly above current consensus ($2.807), creating a small cushion for a beat if margins deliver as guided. Source: Visible Alpha Consensus and Actuals Data (revision history, weekly frequency, May 8 – July 27, 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ITW has outperformed both XLI and the S&amp;P 500 since the Q1 print, driven primarily by </w:t>
      </w:r>
      <w:r>
        <w:rPr>
          <w:rFonts w:ascii="Calibri" w:hAnsi="Calibri"/>
          <w:b/>
          <w:color w:val="525866"/>
          <w:sz w:val="22"/>
        </w:rPr>
        <w:t>multiple expansion (+6.6% on P/E over 1 month)</w:t>
      </w:r>
      <w:r>
        <w:rPr>
          <w:rFonts w:ascii="Calibri" w:hAnsi="Calibri"/>
          <w:color w:val="525866"/>
          <w:sz w:val="22"/>
        </w:rPr>
        <w:t xml:space="preserve"> rather than estimate revisions (which were flat). The stock’s +10.3% gain over 6 months reflects re-rating on margin confidence, not earnings upgrades — making execution on Q2 margins the key test of whether the re-rating is durable.</w:t>
      </w:r>
    </w:p>
    <w:p>
      <w:r>
        <w:rPr>
          <w:rFonts w:ascii="Calibri" w:hAnsi="Calibri"/>
          <w:b/>
          <w:color w:val="525866"/>
          <w:sz w:val="22"/>
        </w:rPr>
        <w:t>Chart: ITW vs. XLI vs. S&amp;P 500 — Indexed to 100 at April 30, 2026 (Q1 2026 Earnings Date)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ITW (Indexed)</w:t>
            </w:r>
          </w:p>
        </w:tc>
        <w:tc>
          <w:tcPr>
            <w:tcW w:type="dxa" w:w="2160"/>
            <w:shd w:val="clear" w:color="auto" w:fill="3B4259"/>
          </w:tcPr>
          <w:p>
            <w:r>
              <w:rPr>
                <w:rFonts w:ascii="Calibri" w:hAnsi="Calibri"/>
                <w:b/>
                <w:color w:val="FFFFFF"/>
                <w:sz w:val="22"/>
              </w:rPr>
              <w:t>XLI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Apr 30, 2026 (Base)</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May 15, 2026</w:t>
            </w:r>
          </w:p>
        </w:tc>
        <w:tc>
          <w:tcPr>
            <w:tcW w:type="dxa" w:w="2160"/>
          </w:tcPr>
          <w:p>
            <w:r>
              <w:rPr>
                <w:rFonts w:ascii="Calibri" w:hAnsi="Calibri"/>
                <w:sz w:val="22"/>
              </w:rPr>
              <w:t>96.0</w:t>
            </w:r>
          </w:p>
        </w:tc>
        <w:tc>
          <w:tcPr>
            <w:tcW w:type="dxa" w:w="2160"/>
          </w:tcPr>
          <w:p>
            <w:r>
              <w:rPr>
                <w:rFonts w:ascii="Calibri" w:hAnsi="Calibri"/>
                <w:sz w:val="22"/>
              </w:rPr>
              <w:t>98.2</w:t>
            </w:r>
          </w:p>
        </w:tc>
        <w:tc>
          <w:tcPr>
            <w:tcW w:type="dxa" w:w="2160"/>
          </w:tcPr>
          <w:p>
            <w:r>
              <w:rPr>
                <w:rFonts w:ascii="Calibri" w:hAnsi="Calibri"/>
                <w:sz w:val="22"/>
              </w:rPr>
              <w:t>102.9</w:t>
            </w:r>
          </w:p>
        </w:tc>
      </w:tr>
      <w:tr>
        <w:tc>
          <w:tcPr>
            <w:tcW w:type="dxa" w:w="2160"/>
          </w:tcPr>
          <w:p>
            <w:r>
              <w:rPr>
                <w:rFonts w:ascii="Calibri" w:hAnsi="Calibri"/>
                <w:sz w:val="22"/>
              </w:rPr>
              <w:t>Jun 1, 2026</w:t>
            </w:r>
          </w:p>
        </w:tc>
        <w:tc>
          <w:tcPr>
            <w:tcW w:type="dxa" w:w="2160"/>
          </w:tcPr>
          <w:p>
            <w:r>
              <w:rPr>
                <w:rFonts w:ascii="Calibri" w:hAnsi="Calibri"/>
                <w:sz w:val="22"/>
              </w:rPr>
              <w:t>95.3</w:t>
            </w:r>
          </w:p>
        </w:tc>
        <w:tc>
          <w:tcPr>
            <w:tcW w:type="dxa" w:w="2160"/>
          </w:tcPr>
          <w:p>
            <w:r>
              <w:rPr>
                <w:rFonts w:ascii="Calibri" w:hAnsi="Calibri"/>
                <w:sz w:val="22"/>
              </w:rPr>
              <w:t>98.8</w:t>
            </w:r>
          </w:p>
        </w:tc>
        <w:tc>
          <w:tcPr>
            <w:tcW w:type="dxa" w:w="2160"/>
          </w:tcPr>
          <w:p>
            <w:r>
              <w:rPr>
                <w:rFonts w:ascii="Calibri" w:hAnsi="Calibri"/>
                <w:sz w:val="22"/>
              </w:rPr>
              <w:t>105.6</w:t>
            </w:r>
          </w:p>
        </w:tc>
      </w:tr>
      <w:tr>
        <w:tc>
          <w:tcPr>
            <w:tcW w:type="dxa" w:w="2160"/>
          </w:tcPr>
          <w:p>
            <w:r>
              <w:rPr>
                <w:rFonts w:ascii="Calibri" w:hAnsi="Calibri"/>
                <w:sz w:val="22"/>
              </w:rPr>
              <w:t>Jun 15, 2026</w:t>
            </w:r>
          </w:p>
        </w:tc>
        <w:tc>
          <w:tcPr>
            <w:tcW w:type="dxa" w:w="2160"/>
          </w:tcPr>
          <w:p>
            <w:r>
              <w:rPr>
                <w:rFonts w:ascii="Calibri" w:hAnsi="Calibri"/>
                <w:sz w:val="22"/>
              </w:rPr>
              <w:t>101.7</w:t>
            </w:r>
          </w:p>
        </w:tc>
        <w:tc>
          <w:tcPr>
            <w:tcW w:type="dxa" w:w="2160"/>
          </w:tcPr>
          <w:p>
            <w:r>
              <w:rPr>
                <w:rFonts w:ascii="Calibri" w:hAnsi="Calibri"/>
                <w:sz w:val="22"/>
              </w:rPr>
              <w:t>102.3</w:t>
            </w:r>
          </w:p>
        </w:tc>
        <w:tc>
          <w:tcPr>
            <w:tcW w:type="dxa" w:w="2160"/>
          </w:tcPr>
          <w:p>
            <w:r>
              <w:rPr>
                <w:rFonts w:ascii="Calibri" w:hAnsi="Calibri"/>
                <w:sz w:val="22"/>
              </w:rPr>
              <w:t>105.0</w:t>
            </w:r>
          </w:p>
        </w:tc>
      </w:tr>
      <w:tr>
        <w:tc>
          <w:tcPr>
            <w:tcW w:type="dxa" w:w="2160"/>
          </w:tcPr>
          <w:p>
            <w:r>
              <w:rPr>
                <w:rFonts w:ascii="Calibri" w:hAnsi="Calibri"/>
                <w:sz w:val="22"/>
              </w:rPr>
              <w:t>Jun 30, 2026</w:t>
            </w:r>
          </w:p>
        </w:tc>
        <w:tc>
          <w:tcPr>
            <w:tcW w:type="dxa" w:w="2160"/>
          </w:tcPr>
          <w:p>
            <w:r>
              <w:rPr>
                <w:rFonts w:ascii="Calibri" w:hAnsi="Calibri"/>
                <w:sz w:val="22"/>
              </w:rPr>
              <w:t>104.8</w:t>
            </w:r>
          </w:p>
        </w:tc>
        <w:tc>
          <w:tcPr>
            <w:tcW w:type="dxa" w:w="2160"/>
          </w:tcPr>
          <w:p>
            <w:r>
              <w:rPr>
                <w:rFonts w:ascii="Calibri" w:hAnsi="Calibri"/>
                <w:sz w:val="22"/>
              </w:rPr>
              <w:t>106.1</w:t>
            </w:r>
          </w:p>
        </w:tc>
        <w:tc>
          <w:tcPr>
            <w:tcW w:type="dxa" w:w="2160"/>
          </w:tcPr>
          <w:p>
            <w:r>
              <w:rPr>
                <w:rFonts w:ascii="Calibri" w:hAnsi="Calibri"/>
                <w:sz w:val="22"/>
              </w:rPr>
              <w:t>103.9</w:t>
            </w:r>
          </w:p>
        </w:tc>
      </w:tr>
      <w:tr>
        <w:tc>
          <w:tcPr>
            <w:tcW w:type="dxa" w:w="2160"/>
          </w:tcPr>
          <w:p>
            <w:r>
              <w:rPr>
                <w:rFonts w:ascii="Calibri" w:hAnsi="Calibri"/>
                <w:sz w:val="22"/>
              </w:rPr>
              <w:t>Jul 16, 2026 (★ Peer DOV earnings)</w:t>
            </w:r>
          </w:p>
        </w:tc>
        <w:tc>
          <w:tcPr>
            <w:tcW w:type="dxa" w:w="2160"/>
          </w:tcPr>
          <w:p>
            <w:r>
              <w:rPr>
                <w:rFonts w:ascii="Calibri" w:hAnsi="Calibri"/>
                <w:sz w:val="22"/>
              </w:rPr>
              <w:t>109.7</w:t>
            </w:r>
          </w:p>
        </w:tc>
        <w:tc>
          <w:tcPr>
            <w:tcW w:type="dxa" w:w="2160"/>
          </w:tcPr>
          <w:p>
            <w:r>
              <w:rPr>
                <w:rFonts w:ascii="Calibri" w:hAnsi="Calibri"/>
                <w:sz w:val="22"/>
              </w:rPr>
              <w:t>103.2</w:t>
            </w:r>
          </w:p>
        </w:tc>
        <w:tc>
          <w:tcPr>
            <w:tcW w:type="dxa" w:w="2160"/>
          </w:tcPr>
          <w:p>
            <w:r>
              <w:rPr>
                <w:rFonts w:ascii="Calibri" w:hAnsi="Calibri"/>
                <w:sz w:val="22"/>
              </w:rPr>
              <w:t>104.5</w:t>
            </w:r>
          </w:p>
        </w:tc>
      </w:tr>
      <w:tr>
        <w:tc>
          <w:tcPr>
            <w:tcW w:type="dxa" w:w="2160"/>
          </w:tcPr>
          <w:p>
            <w:r>
              <w:rPr>
                <w:rFonts w:ascii="Calibri" w:hAnsi="Calibri"/>
                <w:sz w:val="22"/>
              </w:rPr>
              <w:t>Jul 24, 2026</w:t>
            </w:r>
          </w:p>
        </w:tc>
        <w:tc>
          <w:tcPr>
            <w:tcW w:type="dxa" w:w="2160"/>
          </w:tcPr>
          <w:p>
            <w:r>
              <w:rPr>
                <w:rFonts w:ascii="Calibri" w:hAnsi="Calibri"/>
                <w:sz w:val="22"/>
              </w:rPr>
              <w:t>109.7</w:t>
            </w:r>
          </w:p>
        </w:tc>
        <w:tc>
          <w:tcPr>
            <w:tcW w:type="dxa" w:w="2160"/>
          </w:tcPr>
          <w:p>
            <w:r>
              <w:rPr>
                <w:rFonts w:ascii="Calibri" w:hAnsi="Calibri"/>
                <w:sz w:val="22"/>
              </w:rPr>
              <w:t>104.6</w:t>
            </w:r>
          </w:p>
        </w:tc>
        <w:tc>
          <w:tcPr>
            <w:tcW w:type="dxa" w:w="2160"/>
          </w:tcPr>
          <w:p>
            <w:r>
              <w:rPr>
                <w:rFonts w:ascii="Calibri" w:hAnsi="Calibri"/>
                <w:sz w:val="22"/>
              </w:rPr>
              <w:t>102.8</w:t>
            </w:r>
          </w:p>
        </w:tc>
      </w:tr>
      <w:tr>
        <w:tc>
          <w:tcPr>
            <w:tcW w:type="dxa" w:w="2160"/>
          </w:tcPr>
          <w:p>
            <w:r>
              <w:rPr>
                <w:rFonts w:ascii="Calibri" w:hAnsi="Calibri"/>
                <w:sz w:val="22"/>
              </w:rPr>
              <w:t>Jul 28, 2026 (Earnings Day)</w:t>
            </w:r>
          </w:p>
        </w:tc>
        <w:tc>
          <w:tcPr>
            <w:tcW w:type="dxa" w:w="2160"/>
          </w:tcPr>
          <w:p>
            <w:r>
              <w:rPr>
                <w:rFonts w:ascii="Calibri" w:hAnsi="Calibri"/>
                <w:sz w:val="22"/>
              </w:rPr>
              <w:t>110.4</w:t>
            </w:r>
          </w:p>
        </w:tc>
        <w:tc>
          <w:tcPr>
            <w:tcW w:type="dxa" w:w="2160"/>
          </w:tcPr>
          <w:p>
            <w:r>
              <w:rPr>
                <w:rFonts w:ascii="Calibri" w:hAnsi="Calibri"/>
                <w:sz w:val="22"/>
              </w:rPr>
              <w:t>104.9</w:t>
            </w:r>
          </w:p>
        </w:tc>
        <w:tc>
          <w:tcPr>
            <w:tcW w:type="dxa" w:w="2160"/>
          </w:tcPr>
          <w:p>
            <w:r>
              <w:rPr>
                <w:rFonts w:ascii="Calibri" w:hAnsi="Calibri"/>
                <w:sz w:val="22"/>
              </w:rPr>
              <w:t>102.8</w:t>
            </w:r>
          </w:p>
        </w:tc>
      </w:tr>
    </w:tbl>
    <w:p>
      <w:r>
        <w:rPr>
          <w:rFonts w:ascii="Calibri" w:hAnsi="Calibri"/>
          <w:b/>
          <w:color w:val="525866"/>
          <w:sz w:val="22"/>
        </w:rPr>
        <w:t xml:space="preserve">Performance Summary (Apr 30 – Jul 28, 2026): </w:t>
      </w:r>
      <w:r>
        <w:rPr>
          <w:rFonts w:ascii="Calibri" w:hAnsi="Calibri"/>
          <w:color w:val="525866"/>
          <w:sz w:val="22"/>
        </w:rPr>
        <w:t>ITW +10.4% | XLI +4.9% | SPY +2.8%. ITW outperformed XLI by ~550 bps and the S&amp;P 500 by ~760 bps since the Q1 print. The stock dipped ~4% in the first two weeks post-earnings (market disappointed by modest organic growth), then recovered sharply through June–July as CapEx-segment order momentum became more visible and peer read-throughs (DOV Q2 beat on July 23) provided positive signals. The 1-month P/E multiple expanded +6.6% to 24.1x NTM, confirming the move was multiple-driven. Source: Stock Price Data (Yahoo Finance); Stock Performance Decomposition (Implied).</w:t>
      </w:r>
    </w:p>
    <w:p>
      <w:r>
        <w:br w:type="page"/>
      </w:r>
    </w:p>
    <w:p>
      <w:pPr>
        <w:pStyle w:val="Heading2"/>
      </w:pPr>
      <w:r>
        <w:rPr>
          <w:rFonts w:ascii="Calibri" w:hAnsi="Calibri"/>
          <w:b/>
          <w:color w:val="3B4259"/>
          <w:sz w:val="28"/>
        </w:rPr>
        <w:t>6. Peer Commentary / Read-Throughs (Last 60 Days)</w:t>
      </w:r>
    </w:p>
    <w:p>
      <w:r>
        <w:rPr>
          <w:rFonts w:ascii="Calibri" w:hAnsi="Calibri"/>
          <w:b/>
          <w:color w:val="525866"/>
          <w:sz w:val="22"/>
        </w:rPr>
        <w:t xml:space="preserve">Key Takeaway: </w:t>
      </w:r>
      <w:r>
        <w:rPr>
          <w:rFonts w:ascii="Calibri" w:hAnsi="Calibri"/>
          <w:color w:val="525866"/>
          <w:sz w:val="22"/>
        </w:rPr>
        <w:t xml:space="preserve">Peer commentary from the last 60 days is broadly constructive for ITW’s Q2 setup — Dover’s Q2 beat with broad-based organic growth across all segments, Rockwell’s strong order momentum in semiconductors/data centers/energy, and Ingersoll Rand’s improving short-cycle trends all point to a healthy industrial demand backdrop. The one consistent caution: </w:t>
      </w:r>
      <w:r>
        <w:rPr>
          <w:rFonts w:ascii="Calibri" w:hAnsi="Calibri"/>
          <w:b/>
          <w:color w:val="525866"/>
          <w:sz w:val="22"/>
        </w:rPr>
        <w:t>larger CapEx decisions remain deferred due to trade uncertainty and geopolitical volatility</w:t>
      </w:r>
      <w:r>
        <w:rPr>
          <w:rFonts w:ascii="Calibri" w:hAnsi="Calibri"/>
          <w:color w:val="525866"/>
          <w:sz w:val="22"/>
        </w:rPr>
        <w:t>, which is a modest headwind for ITW’s Food Equipment and Construction segments.</w:t>
      </w:r>
    </w:p>
    <w:p>
      <w:r>
        <w:rPr>
          <w:rFonts w:ascii="Calibri" w:hAnsi="Calibri"/>
          <w:i/>
          <w:color w:val="525866"/>
          <w:sz w:val="22"/>
        </w:rPr>
        <w:t>Note: Only commentary about Q2 2026 (current reporting quarter) or made after peers’ prior earnings calls is included below. Prior-quarter results commentary has been excluded.</w:t>
      </w:r>
    </w:p>
    <w:p>
      <w:pPr>
        <w:pStyle w:val="Heading3"/>
      </w:pPr>
      <w:r>
        <w:rPr>
          <w:rFonts w:ascii="Calibri" w:hAnsi="Calibri"/>
          <w:b/>
          <w:color w:val="3B4259"/>
          <w:sz w:val="24"/>
        </w:rPr>
        <w:t>Dover Corporation (DOV) — Q2 2026 Earnings (July 23, 2026)</w:t>
      </w:r>
    </w:p>
    <w:p>
      <w:r>
        <w:rPr>
          <w:rFonts w:ascii="Calibri" w:hAnsi="Calibri"/>
          <w:i/>
          <w:color w:val="525866"/>
          <w:sz w:val="22"/>
        </w:rPr>
        <w:t>Relevance: DOV is a direct industrial peer with overlapping end markets (food equipment, industrial components, test &amp; measurement). Q2 2026 results are the most timely and direct read-through for ITW.</w:t>
      </w:r>
    </w:p>
    <w:p>
      <w:pPr>
        <w:pStyle w:val="ListBullet"/>
        <w:ind w:left="360" w:hanging="360"/>
      </w:pPr>
      <w:r>
        <w:rPr>
          <w:rFonts w:ascii="Calibri" w:hAnsi="Calibri"/>
          <w:b/>
          <w:color w:val="525866"/>
          <w:sz w:val="22"/>
        </w:rPr>
        <w:t xml:space="preserve">Broad-based organic growth across all 5 segments (+4.8% total organic): </w:t>
      </w:r>
      <w:r>
        <w:rPr>
          <w:rFonts w:ascii="Calibri" w:hAnsi="Calibri"/>
          <w:color w:val="525866"/>
          <w:sz w:val="22"/>
        </w:rPr>
        <w:t>"All five segments delivered positive organic growth in the quarter, underscoring the breadth and durability of demand." This is a strong positive read-through for ITW’s own all-7-segments positive organic growth guidance.</w:t>
      </w:r>
    </w:p>
    <w:p>
      <w:pPr>
        <w:pStyle w:val="ListBullet"/>
        <w:ind w:left="360" w:hanging="360"/>
      </w:pPr>
      <w:r>
        <w:rPr>
          <w:rFonts w:ascii="Calibri" w:hAnsi="Calibri"/>
          <w:b/>
          <w:color w:val="525866"/>
          <w:sz w:val="22"/>
        </w:rPr>
        <w:t xml:space="preserve">Bookings surged double-digits, book-to-bill at 1.06x: </w:t>
      </w:r>
      <w:r>
        <w:rPr>
          <w:rFonts w:ascii="Calibri" w:hAnsi="Calibri"/>
          <w:color w:val="525866"/>
          <w:sz w:val="22"/>
        </w:rPr>
        <w:t>"Orders increased 16% year over year and outpaced shipments, with book-to-bill at 1.06. Extending strong order momentum of recent quarters and improving our visibility into the second half of the year." This directly validates ITW management’s April comment that Welding and T&amp;M order rates are running meaningfully ahead of reported organic growth.</w:t>
      </w:r>
    </w:p>
    <w:p>
      <w:pPr>
        <w:pStyle w:val="ListBullet"/>
        <w:ind w:left="360" w:hanging="360"/>
      </w:pPr>
      <w:r>
        <w:rPr>
          <w:rFonts w:ascii="Calibri" w:hAnsi="Calibri"/>
          <w:b/>
          <w:color w:val="525866"/>
          <w:sz w:val="22"/>
        </w:rPr>
        <w:t xml:space="preserve">Asia organic growth +8.5%, U.S. +7.9%; Europe weak at –5.0%: </w:t>
      </w:r>
      <w:r>
        <w:rPr>
          <w:rFonts w:ascii="Calibri" w:hAnsi="Calibri"/>
          <w:color w:val="525866"/>
          <w:sz w:val="22"/>
        </w:rPr>
        <w:t>Strong U.S. and Asia demand is a positive for ITW’s Welding and T&amp;M segments. European weakness is a watch item for ITW’s Construction and Automotive OEM segments.</w:t>
      </w:r>
    </w:p>
    <w:p>
      <w:pPr>
        <w:pStyle w:val="ListBullet"/>
        <w:ind w:left="360" w:hanging="360"/>
      </w:pPr>
      <w:r>
        <w:rPr>
          <w:rFonts w:ascii="Calibri" w:hAnsi="Calibri"/>
          <w:b/>
          <w:color w:val="525866"/>
          <w:sz w:val="22"/>
        </w:rPr>
        <w:t xml:space="preserve">Margin expansion of 80 bps to 25.9% EBITDA; incremental margins 38%: </w:t>
      </w:r>
      <w:r>
        <w:rPr>
          <w:rFonts w:ascii="Calibri" w:hAnsi="Calibri"/>
          <w:color w:val="525866"/>
          <w:sz w:val="22"/>
        </w:rPr>
        <w:t>"Margin performance was solid, as continued operational execution on incremental volumes more than offset input cost inflation." Supports ITW’s guided &gt;100 bps sequential margin improvement from Q1 to Q2.</w:t>
      </w:r>
    </w:p>
    <w:p>
      <w:pPr>
        <w:pStyle w:val="ListBullet"/>
        <w:ind w:left="360" w:hanging="360"/>
      </w:pPr>
      <w:r>
        <w:rPr>
          <w:rFonts w:ascii="Calibri" w:hAnsi="Calibri"/>
          <w:b/>
          <w:color w:val="525866"/>
          <w:sz w:val="22"/>
        </w:rPr>
        <w:t xml:space="preserve">Raised full-year adjusted EPS guidance: </w:t>
      </w:r>
      <w:r>
        <w:rPr>
          <w:rFonts w:ascii="Calibri" w:hAnsi="Calibri"/>
          <w:color w:val="525866"/>
          <w:sz w:val="22"/>
        </w:rPr>
        <w:t>DOV raised FY 2026 adjusted EPS guidance to $10.55–$10.75 on organic growth of 4–6%. The confidence in the back half is a positive signal for ITW’s own H2 ramp.</w:t>
      </w:r>
    </w:p>
    <w:p>
      <w:pPr>
        <w:pStyle w:val="ListBullet"/>
        <w:ind w:left="360" w:hanging="360"/>
      </w:pPr>
      <w:r>
        <w:rPr>
          <w:rFonts w:ascii="Calibri" w:hAnsi="Calibri"/>
          <w:b/>
          <w:color w:val="525866"/>
          <w:sz w:val="22"/>
        </w:rPr>
        <w:t xml:space="preserve">Refrigerated food equipment recovering: </w:t>
      </w:r>
      <w:r>
        <w:rPr>
          <w:rFonts w:ascii="Calibri" w:hAnsi="Calibri"/>
          <w:color w:val="525866"/>
          <w:sz w:val="22"/>
        </w:rPr>
        <w:t>"Refrigerated door cases and engineering services continued to recover from 20-year lows as national retailers reengage in maintenance and replacement activity." Positive read-through for ITW’s Food Equipment segment, which has been the weakest link.</w:t>
      </w:r>
    </w:p>
    <w:p>
      <w:pPr>
        <w:pStyle w:val="ListBullet"/>
        <w:ind w:left="360" w:hanging="360"/>
      </w:pPr>
      <w:r>
        <w:rPr>
          <w:rFonts w:ascii="Calibri" w:hAnsi="Calibri"/>
          <w:b/>
          <w:color w:val="525866"/>
          <w:sz w:val="22"/>
        </w:rPr>
        <w:t xml:space="preserve">Semiconductor and data center demand described as a "durable, multiyear investment cycle": </w:t>
      </w:r>
      <w:r>
        <w:rPr>
          <w:rFonts w:ascii="Calibri" w:hAnsi="Calibri"/>
          <w:color w:val="525866"/>
          <w:sz w:val="22"/>
        </w:rPr>
        <w:t>Directly validates ITW’s Test &amp; Measurement segment recovery narrative.</w:t>
      </w:r>
    </w:p>
    <w:p>
      <w:r>
        <w:rPr>
          <w:rFonts w:ascii="Calibri" w:hAnsi="Calibri"/>
          <w:i/>
          <w:color w:val="525866"/>
          <w:sz w:val="22"/>
        </w:rPr>
        <w:t>Source: Dover Corporation Q2 2026 Earnings Release and Earnings Call Transcript (July 23, 2026).</w:t>
      </w:r>
    </w:p>
    <w:p>
      <w:pPr>
        <w:pStyle w:val="Heading3"/>
      </w:pPr>
      <w:r>
        <w:rPr>
          <w:rFonts w:ascii="Calibri" w:hAnsi="Calibri"/>
          <w:b/>
          <w:color w:val="3B4259"/>
          <w:sz w:val="24"/>
        </w:rPr>
        <w:t>Rockwell Automation (ROK) — Wells Fargo Industrials &amp; Materials Conference (June 11, 2026)</w:t>
      </w:r>
    </w:p>
    <w:p>
      <w:r>
        <w:rPr>
          <w:rFonts w:ascii="Calibri" w:hAnsi="Calibri"/>
          <w:i/>
          <w:color w:val="525866"/>
          <w:sz w:val="22"/>
        </w:rPr>
        <w:t>Relevance: ROK is a key peer in industrial automation and test &amp; measurement. Conference commentary covers Q2 2026 trends (current reporting quarter for ITW).</w:t>
      </w:r>
    </w:p>
    <w:p>
      <w:pPr>
        <w:pStyle w:val="ListBullet"/>
        <w:ind w:left="360" w:hanging="360"/>
      </w:pPr>
      <w:r>
        <w:rPr>
          <w:rFonts w:ascii="Calibri" w:hAnsi="Calibri"/>
          <w:b/>
          <w:color w:val="525866"/>
          <w:sz w:val="22"/>
        </w:rPr>
        <w:t xml:space="preserve">Strong Q2 2026 demand across semiconductors, data centers, e-commerce/warehouse, and energy: </w:t>
      </w:r>
      <w:r>
        <w:rPr>
          <w:rFonts w:ascii="Calibri" w:hAnsi="Calibri"/>
          <w:color w:val="525866"/>
          <w:sz w:val="22"/>
        </w:rPr>
        <w:t>"Data center, semiconductor, e-comm and warehouse and energy — that’s where we saw a combination of brownfield projects, but also more larger projects." ROK raised its full-year outlook for these end markets. Directly positive for ITW’s Test &amp; Measurement and Electronics segment, which grew 5% organically in Q1 and where management cited continued order strength into Q2.</w:t>
      </w:r>
    </w:p>
    <w:p>
      <w:pPr>
        <w:pStyle w:val="ListBullet"/>
        <w:ind w:left="360" w:hanging="360"/>
      </w:pPr>
      <w:r>
        <w:rPr>
          <w:rFonts w:ascii="Calibri" w:hAnsi="Calibri"/>
          <w:b/>
          <w:color w:val="525866"/>
          <w:sz w:val="22"/>
        </w:rPr>
        <w:t xml:space="preserve">Semiconductor demand broadening: </w:t>
      </w:r>
      <w:r>
        <w:rPr>
          <w:rFonts w:ascii="Calibri" w:hAnsi="Calibri"/>
          <w:color w:val="525866"/>
          <w:sz w:val="22"/>
        </w:rPr>
        <w:t>"We did see some pickup there and it’s both on the core semi with the legacy fabs, but increasingly also with the AI-related data center-related investments as well." Validates ITW’s T&amp;M segment recovery, where semi-related businesses grew &gt;15% in Q1.</w:t>
      </w:r>
    </w:p>
    <w:p>
      <w:pPr>
        <w:pStyle w:val="ListBullet"/>
        <w:ind w:left="360" w:hanging="360"/>
      </w:pPr>
      <w:r>
        <w:rPr>
          <w:rFonts w:ascii="Calibri" w:hAnsi="Calibri"/>
          <w:b/>
          <w:color w:val="525866"/>
          <w:sz w:val="22"/>
        </w:rPr>
        <w:t xml:space="preserve">Food &amp; beverage and automotive performing well in Q2, but on smaller projects: </w:t>
      </w:r>
      <w:r>
        <w:rPr>
          <w:rFonts w:ascii="Calibri" w:hAnsi="Calibri"/>
          <w:color w:val="525866"/>
          <w:sz w:val="22"/>
        </w:rPr>
        <w:t>"Food and beverage, automotive, they performed well in Q2. We saw good activity, but mostly tied to smaller initiatives, smaller modernization projects." Suggests ITW’s Food Equipment and Automotive OEM segments may see steady but not accelerating demand.</w:t>
      </w:r>
    </w:p>
    <w:p>
      <w:pPr>
        <w:pStyle w:val="ListBullet"/>
        <w:ind w:left="360" w:hanging="360"/>
      </w:pPr>
      <w:r>
        <w:rPr>
          <w:rFonts w:ascii="Calibri" w:hAnsi="Calibri"/>
          <w:b/>
          <w:color w:val="525866"/>
          <w:sz w:val="22"/>
        </w:rPr>
        <w:t xml:space="preserve">Energy sector outlook raised to high single-digit growth: </w:t>
      </w:r>
      <w:r>
        <w:rPr>
          <w:rFonts w:ascii="Calibri" w:hAnsi="Calibri"/>
          <w:color w:val="525866"/>
          <w:sz w:val="22"/>
        </w:rPr>
        <w:t>Positive read-through for ITW’s Welding segment, which serves energy-related industries.</w:t>
      </w:r>
    </w:p>
    <w:p>
      <w:pPr>
        <w:pStyle w:val="ListBullet"/>
        <w:ind w:left="360" w:hanging="360"/>
      </w:pPr>
      <w:r>
        <w:rPr>
          <w:rFonts w:ascii="Calibri" w:hAnsi="Calibri"/>
          <w:b/>
          <w:color w:val="525866"/>
          <w:sz w:val="22"/>
        </w:rPr>
        <w:t xml:space="preserve">Larger CapEx decisions still deferred due to trade uncertainty: </w:t>
      </w:r>
      <w:r>
        <w:rPr>
          <w:rFonts w:ascii="Calibri" w:hAnsi="Calibri"/>
          <w:color w:val="525866"/>
          <w:sz w:val="22"/>
        </w:rPr>
        <w:t>"What they’re kind of holding off on is those larger, longer-ranging CapEx projects because trade uncertainty is still very persistent." A modest headwind for ITW’s longer-cycle businesses.</w:t>
      </w:r>
    </w:p>
    <w:p>
      <w:pPr>
        <w:pStyle w:val="ListBullet"/>
        <w:ind w:left="360" w:hanging="360"/>
      </w:pPr>
      <w:r>
        <w:rPr>
          <w:rFonts w:ascii="Calibri" w:hAnsi="Calibri"/>
          <w:b/>
          <w:color w:val="525866"/>
          <w:sz w:val="22"/>
        </w:rPr>
        <w:t xml:space="preserve">Pricing power intact: </w:t>
      </w:r>
      <w:r>
        <w:rPr>
          <w:rFonts w:ascii="Calibri" w:hAnsi="Calibri"/>
          <w:color w:val="525866"/>
          <w:sz w:val="22"/>
        </w:rPr>
        <w:t>ROK guiding to 250 bps of price realization in FY 2026 (150 bps underlying + 100 bps tariff-related). Supports ITW’s own expectation of "a little bit more price" coming through primarily in Q2 and beyond.</w:t>
      </w:r>
    </w:p>
    <w:p>
      <w:r>
        <w:rPr>
          <w:rFonts w:ascii="Calibri" w:hAnsi="Calibri"/>
          <w:i/>
          <w:color w:val="525866"/>
          <w:sz w:val="22"/>
        </w:rPr>
        <w:t>Source: Rockwell Automation, Wells Fargo Industrials and Materials Conference transcript (June 11, 2026).</w:t>
      </w:r>
    </w:p>
    <w:p>
      <w:pPr>
        <w:pStyle w:val="Heading3"/>
      </w:pPr>
      <w:r>
        <w:rPr>
          <w:rFonts w:ascii="Calibri" w:hAnsi="Calibri"/>
          <w:b/>
          <w:color w:val="3B4259"/>
          <w:sz w:val="24"/>
        </w:rPr>
        <w:t>Rockwell Automation (ROK) — Baird Global Consumer, Tech &amp; Services Conference (June 2, 2026)</w:t>
      </w:r>
    </w:p>
    <w:p>
      <w:r>
        <w:rPr>
          <w:rFonts w:ascii="Calibri" w:hAnsi="Calibri"/>
          <w:i/>
          <w:color w:val="525866"/>
          <w:sz w:val="22"/>
        </w:rPr>
        <w:t>Relevance: Additional Q2 2026 current-quarter commentary from ROK management, covering demand trends and pricing.</w:t>
      </w:r>
    </w:p>
    <w:p>
      <w:pPr>
        <w:pStyle w:val="ListBullet"/>
        <w:ind w:left="360" w:hanging="360"/>
      </w:pPr>
      <w:r>
        <w:rPr>
          <w:rFonts w:ascii="Calibri" w:hAnsi="Calibri"/>
          <w:b/>
          <w:color w:val="525866"/>
          <w:sz w:val="22"/>
        </w:rPr>
        <w:t xml:space="preserve">Broad-based Q2 demand strength, with data center business more than doubling: </w:t>
      </w:r>
      <w:r>
        <w:rPr>
          <w:rFonts w:ascii="Calibri" w:hAnsi="Calibri"/>
          <w:color w:val="525866"/>
          <w:sz w:val="22"/>
        </w:rPr>
        <w:t>"Data center business more than doubled for us in Q2." Growing strong double digits. Positive for ITW’s T&amp;M segment.</w:t>
      </w:r>
    </w:p>
    <w:p>
      <w:pPr>
        <w:pStyle w:val="ListBullet"/>
        <w:ind w:left="360" w:hanging="360"/>
      </w:pPr>
      <w:r>
        <w:rPr>
          <w:rFonts w:ascii="Calibri" w:hAnsi="Calibri"/>
          <w:b/>
          <w:color w:val="525866"/>
          <w:sz w:val="22"/>
        </w:rPr>
        <w:t xml:space="preserve">No broad-based CapEx recovery yet in food &amp; beverage or automotive: </w:t>
      </w:r>
      <w:r>
        <w:rPr>
          <w:rFonts w:ascii="Calibri" w:hAnsi="Calibri"/>
          <w:color w:val="525866"/>
          <w:sz w:val="22"/>
        </w:rPr>
        <w:t>"Not quite the CapEx activity that is really needed to change our guide even further" in food &amp; beverage (20% of ROK revenue) and automotive (10%). Tempers expectations for a large upside surprise in ITW’s Food Equipment segment.</w:t>
      </w:r>
    </w:p>
    <w:p>
      <w:pPr>
        <w:pStyle w:val="ListBullet"/>
        <w:ind w:left="360" w:hanging="360"/>
      </w:pPr>
      <w:r>
        <w:rPr>
          <w:rFonts w:ascii="Calibri" w:hAnsi="Calibri"/>
          <w:b/>
          <w:color w:val="525866"/>
          <w:sz w:val="22"/>
        </w:rPr>
        <w:t xml:space="preserve">Intelligent Devices segment up 9% organically in Q2: </w:t>
      </w:r>
      <w:r>
        <w:rPr>
          <w:rFonts w:ascii="Calibri" w:hAnsi="Calibri"/>
          <w:color w:val="525866"/>
          <w:sz w:val="22"/>
        </w:rPr>
        <w:t>Broad growth across motion control, I/O devices, and sensing/safety portfolios. Positive for ITW’s industrial components businesses.</w:t>
      </w:r>
    </w:p>
    <w:p>
      <w:pPr>
        <w:pStyle w:val="ListBullet"/>
        <w:ind w:left="360" w:hanging="360"/>
      </w:pPr>
      <w:r>
        <w:rPr>
          <w:rFonts w:ascii="Calibri" w:hAnsi="Calibri"/>
          <w:b/>
          <w:color w:val="525866"/>
          <w:sz w:val="22"/>
        </w:rPr>
        <w:t xml:space="preserve">Incremental margins over 50% in Q2: </w:t>
      </w:r>
      <w:r>
        <w:rPr>
          <w:rFonts w:ascii="Calibri" w:hAnsi="Calibri"/>
          <w:color w:val="525866"/>
          <w:sz w:val="22"/>
        </w:rPr>
        <w:t>"ITD and really Rockwell overall, both had really excellent margin expansion in the quarter, incremental margins over 50%." Sets a high bar for industrial margin performance; ITW’s guided mid-to-high 40s incrementals look achievable by comparison.</w:t>
      </w:r>
    </w:p>
    <w:p>
      <w:pPr>
        <w:pStyle w:val="ListBullet"/>
        <w:ind w:left="360" w:hanging="360"/>
      </w:pPr>
      <w:r>
        <w:rPr>
          <w:rFonts w:ascii="Calibri" w:hAnsi="Calibri"/>
          <w:b/>
          <w:color w:val="525866"/>
          <w:sz w:val="22"/>
        </w:rPr>
        <w:t xml:space="preserve">Memory chip cost inflation a headwind in H2: </w:t>
      </w:r>
      <w:r>
        <w:rPr>
          <w:rFonts w:ascii="Calibri" w:hAnsi="Calibri"/>
          <w:color w:val="525866"/>
          <w:sz w:val="22"/>
        </w:rPr>
        <w:t>"Expecting double-digit millions of headwind in our second half" from rising memory chip costs. A watch item for ITW’s T&amp;M and electronics-adjacent businesses.</w:t>
      </w:r>
    </w:p>
    <w:p>
      <w:r>
        <w:rPr>
          <w:rFonts w:ascii="Calibri" w:hAnsi="Calibri"/>
          <w:i/>
          <w:color w:val="525866"/>
          <w:sz w:val="22"/>
        </w:rPr>
        <w:t>Source: Rockwell Automation, Baird Global Consumer, Tech &amp; Services Conference transcript (June 2, 2026).</w:t>
      </w:r>
    </w:p>
    <w:p>
      <w:pPr>
        <w:pStyle w:val="Heading3"/>
      </w:pPr>
      <w:r>
        <w:rPr>
          <w:rFonts w:ascii="Calibri" w:hAnsi="Calibri"/>
          <w:b/>
          <w:color w:val="3B4259"/>
          <w:sz w:val="24"/>
        </w:rPr>
        <w:t>Ingersoll Rand (IR) — Wells Fargo Industrials &amp; Materials Conference (June 10, 2026)</w:t>
      </w:r>
    </w:p>
    <w:p>
      <w:r>
        <w:rPr>
          <w:rFonts w:ascii="Calibri" w:hAnsi="Calibri"/>
          <w:i/>
          <w:color w:val="525866"/>
          <w:sz w:val="22"/>
        </w:rPr>
        <w:t>Relevance: IR is a diversified industrial peer with overlapping short-cycle and aftermarket businesses. Conference commentary covers Q2 2026 current-quarter trends.</w:t>
      </w:r>
    </w:p>
    <w:p>
      <w:pPr>
        <w:pStyle w:val="ListBullet"/>
        <w:ind w:left="360" w:hanging="360"/>
      </w:pPr>
      <w:r>
        <w:rPr>
          <w:rFonts w:ascii="Calibri" w:hAnsi="Calibri"/>
          <w:b/>
          <w:color w:val="525866"/>
          <w:sz w:val="22"/>
        </w:rPr>
        <w:t xml:space="preserve">Short-cycle demand trends improving: </w:t>
      </w:r>
      <w:r>
        <w:rPr>
          <w:rFonts w:ascii="Calibri" w:hAnsi="Calibri"/>
          <w:color w:val="525866"/>
          <w:sz w:val="22"/>
        </w:rPr>
        <w:t>"Definitely see trends getting better" on the short-cycle side. "Setting up for a better backdrop on a go-forward basis." Positive for ITW’s short-cycle businesses (Polymers &amp; Fluids, Construction Products).</w:t>
      </w:r>
    </w:p>
    <w:p>
      <w:pPr>
        <w:pStyle w:val="ListBullet"/>
        <w:ind w:left="360" w:hanging="360"/>
      </w:pPr>
      <w:r>
        <w:rPr>
          <w:rFonts w:ascii="Calibri" w:hAnsi="Calibri"/>
          <w:b/>
          <w:color w:val="525866"/>
          <w:sz w:val="22"/>
        </w:rPr>
        <w:t xml:space="preserve">China showing third consecutive quarter of organic order momentum: </w:t>
      </w:r>
      <w:r>
        <w:rPr>
          <w:rFonts w:ascii="Calibri" w:hAnsi="Calibri"/>
          <w:color w:val="525866"/>
          <w:sz w:val="22"/>
        </w:rPr>
        <w:t>"China through the lens of it’s actually had shown its third quarter of organic orders momentum." China comp headwinds "largely behind us." Positive read-through for ITW’s Automotive OEM China business, where management guided for meaningful sequential improvement in Q2 including double-digit EV growth.</w:t>
      </w:r>
    </w:p>
    <w:p>
      <w:pPr>
        <w:pStyle w:val="ListBullet"/>
        <w:ind w:left="360" w:hanging="360"/>
      </w:pPr>
      <w:r>
        <w:rPr>
          <w:rFonts w:ascii="Calibri" w:hAnsi="Calibri"/>
          <w:b/>
          <w:color w:val="525866"/>
          <w:sz w:val="22"/>
        </w:rPr>
        <w:t xml:space="preserve">Europe stable, not deteriorating: </w:t>
      </w:r>
      <w:r>
        <w:rPr>
          <w:rFonts w:ascii="Calibri" w:hAnsi="Calibri"/>
          <w:color w:val="525866"/>
          <w:sz w:val="22"/>
        </w:rPr>
        <w:t>"Stability is probably the right word." UK, France, Mediterranean healthier than Germany. Consistent with ITW’s European exposure across Automotive OEM and Construction.</w:t>
      </w:r>
    </w:p>
    <w:p>
      <w:pPr>
        <w:pStyle w:val="ListBullet"/>
        <w:ind w:left="360" w:hanging="360"/>
      </w:pPr>
      <w:r>
        <w:rPr>
          <w:rFonts w:ascii="Calibri" w:hAnsi="Calibri"/>
          <w:b/>
          <w:color w:val="525866"/>
          <w:sz w:val="22"/>
        </w:rPr>
        <w:t xml:space="preserve">Sequential margin step-up Q1→Q2→Q3 expected: </w:t>
      </w:r>
      <w:r>
        <w:rPr>
          <w:rFonts w:ascii="Calibri" w:hAnsi="Calibri"/>
          <w:color w:val="525866"/>
          <w:sz w:val="22"/>
        </w:rPr>
        <w:t>IR cited four drivers for H2 margin acceleration: better price/cost, volume improvement, productivity, and restructuring benefits. Directly validates ITW’s own guided &gt;100 bps sequential margin improvement from Q1 to Q2.</w:t>
      </w:r>
    </w:p>
    <w:p>
      <w:pPr>
        <w:pStyle w:val="ListBullet"/>
        <w:ind w:left="360" w:hanging="360"/>
      </w:pPr>
      <w:r>
        <w:rPr>
          <w:rFonts w:ascii="Calibri" w:hAnsi="Calibri"/>
          <w:b/>
          <w:color w:val="525866"/>
          <w:sz w:val="22"/>
        </w:rPr>
        <w:t xml:space="preserve">Pricing normalizing to 1–2% underlying (down from tariff-elevated levels): </w:t>
      </w:r>
      <w:r>
        <w:rPr>
          <w:rFonts w:ascii="Calibri" w:hAnsi="Calibri"/>
          <w:color w:val="525866"/>
          <w:sz w:val="22"/>
        </w:rPr>
        <w:t>"Returning back to that 1 to 2% kind of standard." Consistent with ITW’s expectation of "a little bit more price" in Q2 and beyond, but not a step-change.</w:t>
      </w:r>
    </w:p>
    <w:p>
      <w:pPr>
        <w:pStyle w:val="ListBullet"/>
        <w:ind w:left="360" w:hanging="360"/>
      </w:pPr>
      <w:r>
        <w:rPr>
          <w:rFonts w:ascii="Calibri" w:hAnsi="Calibri"/>
          <w:b/>
          <w:color w:val="525866"/>
          <w:sz w:val="22"/>
        </w:rPr>
        <w:t xml:space="preserve">Long-cycle funnels healthy, no cancellations: </w:t>
      </w:r>
      <w:r>
        <w:rPr>
          <w:rFonts w:ascii="Calibri" w:hAnsi="Calibri"/>
          <w:color w:val="525866"/>
          <w:sz w:val="22"/>
        </w:rPr>
        <w:t>"The longer-cycle funnels continue to remain relatively healthy." Middle East order delays from Q1 largely resolved. Positive for ITW’s Specialty Products segment, which cited delayed Middle East sales as a Q1 headwind.</w:t>
      </w:r>
    </w:p>
    <w:p>
      <w:r>
        <w:rPr>
          <w:rFonts w:ascii="Calibri" w:hAnsi="Calibri"/>
          <w:i/>
          <w:color w:val="525866"/>
          <w:sz w:val="22"/>
        </w:rPr>
        <w:t>Source: Ingersoll Rand, Wells Fargo Industrials &amp; Materials Conference transcript (June 10, 2026).</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confirmation of the Q2 earnings date (July 28)</w:t>
      </w:r>
      <w:r>
        <w:rPr>
          <w:rFonts w:ascii="Calibri" w:hAnsi="Calibri"/>
          <w:color w:val="525866"/>
          <w:sz w:val="22"/>
        </w:rPr>
        <w:t xml:space="preserve"> and the absence of any pre-announcement or guidance revision — no news is good news, consistent with management’s April confidence. The shareholder meeting outcome (May 12) was routine and non-disruptive.</w:t>
      </w:r>
    </w:p>
    <w:p>
      <w:pPr>
        <w:pStyle w:val="ListBullet"/>
        <w:ind w:left="360" w:hanging="360"/>
      </w:pPr>
      <w:r>
        <w:rPr>
          <w:rFonts w:ascii="Calibri" w:hAnsi="Calibri"/>
          <w:b/>
          <w:color w:val="525866"/>
          <w:sz w:val="22"/>
        </w:rPr>
        <w:t xml:space="preserve">July 8, 2026 — ITW schedules Q2 2026 earnings webcast: </w:t>
      </w:r>
      <w:r>
        <w:rPr>
          <w:rFonts w:ascii="Calibri" w:hAnsi="Calibri"/>
          <w:color w:val="525866"/>
          <w:sz w:val="22"/>
        </w:rPr>
        <w:t>ITW confirmed Q2 2026 results will be released July 28, 2026 at 7:00 a.m. CDT, with webcast at 9:00 a.m. CDT. No pre-announcement or guidance update accompanied the scheduling notice. Implication: management comfortable with current guidance trajectory heading into the print.</w:t>
      </w:r>
    </w:p>
    <w:p>
      <w:pPr>
        <w:pStyle w:val="ListBullet"/>
        <w:ind w:left="360" w:hanging="360"/>
      </w:pPr>
      <w:r>
        <w:rPr>
          <w:rFonts w:ascii="Calibri" w:hAnsi="Calibri"/>
          <w:b/>
          <w:color w:val="525866"/>
          <w:sz w:val="22"/>
        </w:rPr>
        <w:t xml:space="preserve">May 12, 2026 — Annual Shareholder Meeting (8-K): </w:t>
      </w:r>
      <w:r>
        <w:rPr>
          <w:rFonts w:ascii="Calibri" w:hAnsi="Calibri"/>
          <w:color w:val="525866"/>
          <w:sz w:val="22"/>
        </w:rPr>
        <w:t>Shareholders affirmed the board and executive pay; a governance proposal was rejected. Routine outcome with no operational implications. No changes to capital allocation or leadership.</w:t>
      </w:r>
    </w:p>
    <w:p>
      <w:pPr>
        <w:pStyle w:val="ListBullet"/>
        <w:ind w:left="360" w:hanging="360"/>
      </w:pPr>
      <w:r>
        <w:rPr>
          <w:rFonts w:ascii="Calibri" w:hAnsi="Calibri"/>
          <w:b/>
          <w:color w:val="525866"/>
          <w:sz w:val="22"/>
        </w:rPr>
        <w:t xml:space="preserve">April 30, 2026 — Q1 2026 Earnings: EPS beat, guidance raised: </w:t>
      </w:r>
      <w:r>
        <w:rPr>
          <w:rFonts w:ascii="Calibri" w:hAnsi="Calibri"/>
          <w:color w:val="525866"/>
          <w:sz w:val="22"/>
        </w:rPr>
        <w:t>ITW reported Q1 GAAP EPS of $2.66 (+12% YoY), operating margin of 25.4% (+60 bps), and raised FY 2026 GAAP EPS guidance by $0.10 to $11.10–$11.50. Management cited April organic growth trending toward the high end of the 1–3% range and flagged Welding and T&amp;M order rates running meaningfully ahead of reported growth. Stock declined on the day despite the beat, as the market focused on the modest +0.4% organic growth print.</w:t>
      </w:r>
    </w:p>
    <w:p>
      <w:pPr>
        <w:pStyle w:val="ListBullet"/>
        <w:ind w:left="360" w:hanging="360"/>
      </w:pPr>
      <w:r>
        <w:rPr>
          <w:rFonts w:ascii="Calibri" w:hAnsi="Calibri"/>
          <w:b/>
          <w:color w:val="525866"/>
          <w:sz w:val="22"/>
        </w:rPr>
        <w:t xml:space="preserve">July 23, 2026 — Dover (DOV) Q2 2026 earnings beat: </w:t>
      </w:r>
      <w:r>
        <w:rPr>
          <w:rFonts w:ascii="Calibri" w:hAnsi="Calibri"/>
          <w:color w:val="525866"/>
          <w:sz w:val="22"/>
        </w:rPr>
        <w:t>DOV reported broad-based organic growth of +4.8% across all 5 segments, raised FY 2026 EPS guidance, and cited double-digit bookings growth with book-to-bill of 1.06x. Strong positive read-through for ITW’s CapEx-related segments and overall industrial demand backdrop. ITW stock rose ~2.2% on July 23 in sympathy.</w:t>
      </w:r>
    </w:p>
    <w:p>
      <w:pPr>
        <w:pStyle w:val="ListBullet"/>
        <w:ind w:left="360" w:hanging="360"/>
      </w:pPr>
      <w:r>
        <w:rPr>
          <w:rFonts w:ascii="Calibri" w:hAnsi="Calibri"/>
          <w:b/>
          <w:color w:val="525866"/>
          <w:sz w:val="22"/>
        </w:rPr>
        <w:t xml:space="preserve">June 2026 — Peer conference circuit (ROK, IR): </w:t>
      </w:r>
      <w:r>
        <w:rPr>
          <w:rFonts w:ascii="Calibri" w:hAnsi="Calibri"/>
          <w:color w:val="525866"/>
          <w:sz w:val="22"/>
        </w:rPr>
        <w:t>Rockwell Automation and Ingersoll Rand both provided constructive Q2 2026 demand commentary at Wells Fargo and Baird conferences, citing improving short-cycle trends, semiconductor/data center strength, and sequential margin improvement. Consistent with ITW’s own guidance trajectory.</w:t>
      </w:r>
    </w:p>
    <w:p>
      <w:pPr>
        <w:pStyle w:val="ListBullet"/>
        <w:ind w:left="360" w:hanging="360"/>
      </w:pPr>
      <w:r>
        <w:rPr>
          <w:rFonts w:ascii="Calibri" w:hAnsi="Calibri"/>
          <w:b/>
          <w:color w:val="525866"/>
          <w:sz w:val="22"/>
        </w:rPr>
        <w:t xml:space="preserve">No analyst rating changes for ITW identified in the period (April 30 – July 27, 2026): </w:t>
      </w:r>
      <w:r>
        <w:rPr>
          <w:rFonts w:ascii="Calibri" w:hAnsi="Calibri"/>
          <w:color w:val="525866"/>
          <w:sz w:val="22"/>
        </w:rPr>
        <w:t>No upgrades or downgrades were found in the data for this period. Implication: sell-side consensus is stable; no major sentiment shift.</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Only one insider transaction was identified in the period — a small open-market purchase by a director in early June. </w:t>
      </w:r>
      <w:r>
        <w:rPr>
          <w:rFonts w:ascii="Calibri" w:hAnsi="Calibri"/>
          <w:b/>
          <w:color w:val="525866"/>
          <w:sz w:val="22"/>
        </w:rPr>
        <w:t>The buy is a mild positive signal</w:t>
      </w:r>
      <w:r>
        <w:rPr>
          <w:rFonts w:ascii="Calibri" w:hAnsi="Calibri"/>
          <w:color w:val="525866"/>
          <w:sz w:val="22"/>
        </w:rPr>
        <w:t>, though the size ($~215K) is not large enough to be a strong conviction indicator. No insider sales were identified, which is notable given the stock’s recovery to multi-month highs.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Approx. Value</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Jennifer F. Scanlon</w:t>
            </w:r>
          </w:p>
        </w:tc>
        <w:tc>
          <w:tcPr>
            <w:tcW w:type="dxa" w:w="1234"/>
          </w:tcPr>
          <w:p>
            <w:r>
              <w:rPr>
                <w:rFonts w:ascii="Calibri" w:hAnsi="Calibri"/>
                <w:sz w:val="22"/>
              </w:rPr>
              <w:t>Director</w:t>
            </w:r>
          </w:p>
        </w:tc>
        <w:tc>
          <w:tcPr>
            <w:tcW w:type="dxa" w:w="1234"/>
          </w:tcPr>
          <w:p>
            <w:r>
              <w:rPr>
                <w:rFonts w:ascii="Calibri" w:hAnsi="Calibri"/>
                <w:sz w:val="22"/>
              </w:rPr>
              <w:t>Open Market Buy</w:t>
            </w:r>
          </w:p>
        </w:tc>
        <w:tc>
          <w:tcPr>
            <w:tcW w:type="dxa" w:w="1234"/>
          </w:tcPr>
          <w:p>
            <w:r>
              <w:rPr>
                <w:rFonts w:ascii="Calibri" w:hAnsi="Calibri"/>
                <w:sz w:val="22"/>
              </w:rPr>
              <w:t>806 shares</w:t>
            </w:r>
          </w:p>
        </w:tc>
        <w:tc>
          <w:tcPr>
            <w:tcW w:type="dxa" w:w="1234"/>
          </w:tcPr>
          <w:p>
            <w:r>
              <w:rPr>
                <w:rFonts w:ascii="Calibri" w:hAnsi="Calibri"/>
                <w:sz w:val="22"/>
              </w:rPr>
              <w:t>~$215K (est. at ~$267/share)</w:t>
            </w:r>
          </w:p>
        </w:tc>
        <w:tc>
          <w:tcPr>
            <w:tcW w:type="dxa" w:w="1234"/>
          </w:tcPr>
          <w:p>
            <w:r>
              <w:rPr>
                <w:rFonts w:ascii="Calibri" w:hAnsi="Calibri"/>
                <w:sz w:val="22"/>
              </w:rPr>
              <w:t>June 2, 2026</w:t>
            </w:r>
          </w:p>
        </w:tc>
        <w:tc>
          <w:tcPr>
            <w:tcW w:type="dxa" w:w="1234"/>
          </w:tcPr>
          <w:p>
            <w:r>
              <w:rPr>
                <w:rFonts w:ascii="Calibri" w:hAnsi="Calibri"/>
                <w:sz w:val="22"/>
              </w:rPr>
              <w:t>Discretionary open-market purchase; not a 10b5-1 plan. Post-earnings buy at depressed price levels. Total holding: 1,652 shares after transaction.</w:t>
            </w:r>
          </w:p>
        </w:tc>
      </w:tr>
    </w:tbl>
    <w:p>
      <w:r>
        <w:rPr>
          <w:rFonts w:ascii="Calibri" w:hAnsi="Calibri"/>
          <w:i/>
          <w:color w:val="525866"/>
          <w:sz w:val="22"/>
        </w:rPr>
        <w:t>Source: SEC Form 4 Filing — Scanlon Jennifer F. (ITW), filed June 4, 2026, transaction date June 2, 2026. Insider Transaction Data (SEC EDGAR).</w:t>
      </w:r>
    </w:p>
    <w:p>
      <w:r>
        <w:rPr>
          <w:rFonts w:ascii="Calibri" w:hAnsi="Calibri"/>
          <w:color w:val="525866"/>
          <w:sz w:val="22"/>
        </w:rPr>
        <w:t>No other open-market buys or sells (Form 4 codes P/S) or 10b5-1 plan initiations were identified for ITW insiders in the April 30 – July 27, 2026 window. The absence of insider selling at current price levels (~$284, near 52-week highs) is a mild positive signal.</w:t>
      </w:r>
    </w:p>
    <w:p>
      <w:r>
        <w:br w:type="page"/>
      </w:r>
    </w:p>
    <w:p>
      <w:pPr>
        <w:pStyle w:val="Heading2"/>
      </w:pPr>
      <w:r>
        <w:rPr>
          <w:rFonts w:ascii="Calibri" w:hAnsi="Calibri"/>
          <w:b/>
          <w:color w:val="3B4259"/>
          <w:sz w:val="28"/>
        </w:rPr>
        <w:t>Appendix: Key Risks &amp; Considerations</w:t>
      </w:r>
    </w:p>
    <w:p>
      <w:pPr>
        <w:pStyle w:val="ListBullet"/>
        <w:ind w:left="360" w:hanging="360"/>
      </w:pPr>
      <w:r>
        <w:rPr>
          <w:rFonts w:ascii="Calibri" w:hAnsi="Calibri"/>
          <w:b/>
          <w:color w:val="525866"/>
          <w:sz w:val="22"/>
        </w:rPr>
        <w:t xml:space="preserve">Upside risks: </w:t>
      </w:r>
      <w:r>
        <w:rPr>
          <w:rFonts w:ascii="Calibri" w:hAnsi="Calibri"/>
          <w:color w:val="525866"/>
          <w:sz w:val="22"/>
        </w:rPr>
        <w:t>Welding and T&amp;M order rates convert to a reported organic growth beat above the ~2% consensus; Food Equipment institutional demand recovers faster than expected; China Automotive OEM builds improve sequentially as guided; Enterprise Initiatives deliver above the guided ~100 bps margin contribution.</w:t>
      </w:r>
    </w:p>
    <w:p>
      <w:pPr>
        <w:pStyle w:val="ListBullet"/>
        <w:ind w:left="360" w:hanging="360"/>
      </w:pPr>
      <w:r>
        <w:rPr>
          <w:rFonts w:ascii="Calibri" w:hAnsi="Calibri"/>
          <w:b/>
          <w:color w:val="525866"/>
          <w:sz w:val="22"/>
        </w:rPr>
        <w:t xml:space="preserve">Downside risks: </w:t>
      </w:r>
      <w:r>
        <w:rPr>
          <w:rFonts w:ascii="Calibri" w:hAnsi="Calibri"/>
          <w:color w:val="525866"/>
          <w:sz w:val="22"/>
        </w:rPr>
        <w:t>Food Equipment institutional demand remains soft (education end market weakness persists); broader CapEx deferral due to trade uncertainty weighs on Welding and Construction; European industrial weakness (flagged by DOV at –5.0% organic) pressures Automotive OEM and Construction; FX headwinds if USD strengthens.</w:t>
      </w:r>
    </w:p>
    <w:p>
      <w:pPr>
        <w:pStyle w:val="ListBullet"/>
        <w:ind w:left="360" w:hanging="360"/>
      </w:pPr>
      <w:r>
        <w:rPr>
          <w:rFonts w:ascii="Calibri" w:hAnsi="Calibri"/>
          <w:b/>
          <w:color w:val="525866"/>
          <w:sz w:val="22"/>
        </w:rPr>
        <w:t xml:space="preserve">Macro watch items: </w:t>
      </w:r>
      <w:r>
        <w:rPr>
          <w:rFonts w:ascii="Calibri" w:hAnsi="Calibri"/>
          <w:color w:val="525866"/>
          <w:sz w:val="22"/>
        </w:rPr>
        <w:t>U.S. tariff policy uncertainty (ITW’s produce-where-they-sell model largely insulates direct impact, but customer CapEx hesitation is a secondary effect); global automotive build rates (guided down ~2% for FY 2026); semiconductor fab utilization trends (key leading indicator for T&amp;M segment).</w:t>
      </w:r>
    </w:p>
    <w:p>
      <w:pPr>
        <w:pStyle w:val="ListBullet"/>
        <w:ind w:left="360" w:hanging="360"/>
      </w:pPr>
      <w:r>
        <w:rPr>
          <w:rFonts w:ascii="Calibri" w:hAnsi="Calibri"/>
          <w:b/>
          <w:color w:val="525866"/>
          <w:sz w:val="22"/>
        </w:rPr>
        <w:t xml:space="preserve">Valuation context: </w:t>
      </w:r>
      <w:r>
        <w:rPr>
          <w:rFonts w:ascii="Calibri" w:hAnsi="Calibri"/>
          <w:color w:val="525866"/>
          <w:sz w:val="22"/>
        </w:rPr>
        <w:t>ITW trades at ~24x NTM P/E (EV/EBITDA ~17.8x), roughly in line with its 5-year average. The stock has re-rated +6.6% on P/E over the past month on margin confidence. A Q2 miss on organic growth or margins could reverse the multiple expansion; a beat would likely push the stock toward the upper end of its historical range.</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