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IVZ (Invesco) before writing the preview. Let me gather recent earnings, filings, news, and stock price data.Let me read the most recent quarter's earnings materials and check recent news/AUM data.Let me get recent news context and check for monthly AUM updates and the QQQ competitive situation.Let me read the June AUM release (most recent, going into Q2 earnings) and check for the Q2 earnings announcement details.Let me check analyst consensus estimates and the QQQ competitive backdrop via web search, plus peer/macro context.Web search has no data for this period. Let me pull the prior-year Q2 2025 release for year-over-year comparison anchors.I now have everything I need. Let me verify a couple of computed figures before writing.Here is the earnings preview.</w:t>
      </w:r>
    </w:p>
    <w:p>
      <w:r>
        <w:pict>
          <v:rect style="width:0;height:1.5pt" o:hralign="center" o:hrstd="t" o:hr="t"/>
        </w:pict>
      </w:r>
    </w:p>
    <w:bookmarkStart w:id="16" w:name="invesco-ivz--q2-2026-earnings-preview"/>
    <w:p>
      <w:pPr>
        <w:pStyle w:val="Heading1"/>
      </w:pPr>
      <w:r>
        <w:t xml:space="preserve">Invesco (IVZ) — Q2 2026 Earnings Preview</w:t>
      </w:r>
    </w:p>
    <w:bookmarkStart w:id="9" w:name="X58acd3f8bc017cd7a5b673c58779bdd149ede50"/>
    <w:p>
      <w:pPr>
        <w:pStyle w:val="Heading3"/>
      </w:pPr>
      <w:r>
        <w:t xml:space="preserve">Reports Tuesday, July 28, 2026 | Release ~7:00 a.m. ET, call 9:00 a.m. ET</w:t>
      </w:r>
    </w:p>
    <w:bookmarkEnd w:id="9"/>
    <w:bookmarkStart w:id="10" w:name="the-one-line-setup"/>
    <w:p>
      <w:pPr>
        <w:pStyle w:val="Heading2"/>
      </w:pPr>
      <w:r>
        <w:t xml:space="preserve">The one-line setup</w:t>
      </w:r>
    </w:p>
    <w:p>
      <w:pPr>
        <w:pStyle w:val="FirstParagraph"/>
      </w:pPr>
      <w:r>
        <w:t xml:space="preserve">IVZ heads into Q2 with the wind at its back: a sharp equity-market recovery drove average AUM up ~7% sequentially, this is the first</w:t>
      </w:r>
      <w:r>
        <w:t xml:space="preserve"> </w:t>
      </w:r>
      <w:r>
        <w:rPr>
          <w:i/>
          <w:iCs/>
        </w:rPr>
        <w:t xml:space="preserve">full</w:t>
      </w:r>
      <w:r>
        <w:t xml:space="preserve"> </w:t>
      </w:r>
      <w:r>
        <w:t xml:space="preserve">quarter in which the newly converted QQQ contributes management fees, and the flow engine (11 straight quarters of net inflows) keeps humming. The bar this quarter is less about "will the numbers be good" — the AUM tailwind makes strong revenue/margin comps close to mechanical — and more about</w:t>
      </w:r>
      <w:r>
        <w:t xml:space="preserve"> </w:t>
      </w:r>
      <w:r>
        <w:rPr>
          <w:b/>
          <w:bCs/>
        </w:rPr>
        <w:t xml:space="preserve">the durability of QQQ economics amid new competition, the sustainability of organic growth, and whether operating margin can keep climbing toward the high-30s.</w:t>
      </w:r>
    </w:p>
    <w:p>
      <w:r>
        <w:pict>
          <v:rect style="width:0;height:1.5pt" o:hralign="center" o:hrstd="t" o:hr="t"/>
        </w:pict>
      </w:r>
    </w:p>
    <w:bookmarkEnd w:id="10"/>
    <w:bookmarkStart w:id="11" w:name="Xac7707c2700a5cac7a841f31c064391447a58a1"/>
    <w:p>
      <w:pPr>
        <w:pStyle w:val="Heading2"/>
      </w:pPr>
      <w:r>
        <w:t xml:space="preserve">1. What just happened to AUM — the single most important input</w:t>
      </w:r>
    </w:p>
    <w:p>
      <w:pPr>
        <w:pStyle w:val="FirstParagraph"/>
      </w:pPr>
      <w:r>
        <w:t xml:space="preserve">Invesco's monthly disclosures already tell most of the Q2 story. Ending AUM marched steadily higher through the quarter as markets rebounded from the early-year selloff:</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Month-end</w:t>
            </w:r>
          </w:p>
        </w:tc>
        <w:tc>
          <w:tcPr/>
          <w:p>
            <w:pPr>
              <w:pStyle w:val="Compact"/>
            </w:pPr>
            <w:r>
              <w:t xml:space="preserve">Total AUM ($B)</w:t>
            </w:r>
          </w:p>
        </w:tc>
        <w:tc>
          <w:tcPr/>
          <w:p>
            <w:pPr>
              <w:pStyle w:val="Compact"/>
            </w:pPr>
            <w:r>
              <w:t xml:space="preserve">QQQ ($B)</w:t>
            </w:r>
          </w:p>
        </w:tc>
        <w:tc>
          <w:tcPr/>
          <w:p>
            <w:pPr>
              <w:pStyle w:val="Compact"/>
            </w:pPr>
            <w:r>
              <w:t xml:space="preserve">ETFs &amp; Index ($B)</w:t>
            </w:r>
          </w:p>
        </w:tc>
        <w:tc>
          <w:tcPr/>
          <w:p>
            <w:pPr>
              <w:pStyle w:val="Compact"/>
            </w:pPr>
            <w:r>
              <w:t xml:space="preserve">China JV ($B)</w:t>
            </w:r>
          </w:p>
        </w:tc>
      </w:tr>
      <w:tr>
        <w:tc>
          <w:tcPr/>
          <w:p>
            <w:pPr>
              <w:pStyle w:val="Compact"/>
            </w:pPr>
            <w:r>
              <w:t xml:space="preserve">Mar 31, 2026 (Q1 end)</w:t>
            </w:r>
          </w:p>
        </w:tc>
        <w:tc>
          <w:tcPr/>
          <w:p>
            <w:pPr>
              <w:pStyle w:val="Compact"/>
            </w:pPr>
            <w:r>
              <w:t xml:space="preserve">2,159.5</w:t>
            </w:r>
          </w:p>
        </w:tc>
        <w:tc>
          <w:tcPr/>
          <w:p>
            <w:pPr>
              <w:pStyle w:val="Compact"/>
            </w:pPr>
            <w:r>
              <w:t xml:space="preserve">372.5</w:t>
            </w:r>
          </w:p>
        </w:tc>
        <w:tc>
          <w:tcPr/>
          <w:p>
            <w:pPr>
              <w:pStyle w:val="Compact"/>
            </w:pPr>
            <w:r>
              <w:t xml:space="preserve">638.3</w:t>
            </w:r>
          </w:p>
        </w:tc>
        <w:tc>
          <w:tcPr/>
          <w:p>
            <w:pPr>
              <w:pStyle w:val="Compact"/>
            </w:pPr>
            <w:r>
              <w:t xml:space="preserve">141.9</w:t>
            </w:r>
          </w:p>
        </w:tc>
      </w:tr>
      <w:tr>
        <w:tc>
          <w:tcPr/>
          <w:p>
            <w:pPr>
              <w:pStyle w:val="Compact"/>
            </w:pPr>
            <w:r>
              <w:t xml:space="preserve">Apr 30, 2026</w:t>
            </w:r>
          </w:p>
        </w:tc>
        <w:tc>
          <w:tcPr/>
          <w:p>
            <w:pPr>
              <w:pStyle w:val="Compact"/>
            </w:pPr>
            <w:r>
              <w:t xml:space="preserve">2,339.4</w:t>
            </w:r>
          </w:p>
        </w:tc>
        <w:tc>
          <w:tcPr/>
          <w:p>
            <w:pPr>
              <w:pStyle w:val="Compact"/>
            </w:pPr>
            <w:r>
              <w:t xml:space="preserve">440.3</w:t>
            </w:r>
          </w:p>
        </w:tc>
        <w:tc>
          <w:tcPr/>
          <w:p>
            <w:pPr>
              <w:pStyle w:val="Compact"/>
            </w:pPr>
            <w:r>
              <w:t xml:space="preserve">701.4</w:t>
            </w:r>
          </w:p>
        </w:tc>
        <w:tc>
          <w:tcPr/>
          <w:p>
            <w:pPr>
              <w:pStyle w:val="Compact"/>
            </w:pPr>
            <w:r>
              <w:t xml:space="preserve">154.3</w:t>
            </w:r>
          </w:p>
        </w:tc>
      </w:tr>
      <w:tr>
        <w:tc>
          <w:tcPr/>
          <w:p>
            <w:pPr>
              <w:pStyle w:val="Compact"/>
            </w:pPr>
            <w:r>
              <w:t xml:space="preserve">May 31, 2026</w:t>
            </w:r>
          </w:p>
        </w:tc>
        <w:tc>
          <w:tcPr/>
          <w:p>
            <w:pPr>
              <w:pStyle w:val="Compact"/>
            </w:pPr>
            <w:r>
              <w:t xml:space="preserve">2,453.9</w:t>
            </w:r>
          </w:p>
        </w:tc>
        <w:tc>
          <w:tcPr/>
          <w:p>
            <w:pPr>
              <w:pStyle w:val="Compact"/>
            </w:pPr>
            <w:r>
              <w:t xml:space="preserve">494.0</w:t>
            </w:r>
          </w:p>
        </w:tc>
        <w:tc>
          <w:tcPr/>
          <w:p>
            <w:pPr>
              <w:pStyle w:val="Compact"/>
            </w:pPr>
            <w:r>
              <w:t xml:space="preserve">745.8</w:t>
            </w:r>
          </w:p>
        </w:tc>
        <w:tc>
          <w:tcPr/>
          <w:p>
            <w:pPr>
              <w:pStyle w:val="Compact"/>
            </w:pPr>
            <w:r>
              <w:t xml:space="preserve">158.7</w:t>
            </w:r>
          </w:p>
        </w:tc>
      </w:tr>
      <w:tr>
        <w:tc>
          <w:tcPr/>
          <w:p>
            <w:pPr>
              <w:pStyle w:val="Compact"/>
            </w:pPr>
            <w:r>
              <w:rPr>
                <w:b/>
                <w:bCs/>
              </w:rPr>
              <w:t xml:space="preserve">Jun 30, 2026 (Q2 end, prelim)</w:t>
            </w:r>
          </w:p>
        </w:tc>
        <w:tc>
          <w:tcPr/>
          <w:p>
            <w:pPr>
              <w:pStyle w:val="Compact"/>
            </w:pPr>
            <w:r>
              <w:rPr>
                <w:b/>
                <w:bCs/>
              </w:rPr>
              <w:t xml:space="preserve">2,470.3</w:t>
            </w:r>
          </w:p>
        </w:tc>
        <w:tc>
          <w:tcPr/>
          <w:p>
            <w:pPr>
              <w:pStyle w:val="Compact"/>
            </w:pPr>
            <w:r>
              <w:t xml:space="preserve">490.1</w:t>
            </w:r>
          </w:p>
        </w:tc>
        <w:tc>
          <w:tcPr/>
          <w:p>
            <w:pPr>
              <w:pStyle w:val="Compact"/>
            </w:pPr>
            <w:r>
              <w:t xml:space="preserve">753.5</w:t>
            </w:r>
          </w:p>
        </w:tc>
        <w:tc>
          <w:tcPr/>
          <w:p>
            <w:pPr>
              <w:pStyle w:val="Compact"/>
            </w:pPr>
            <w:r>
              <w:t xml:space="preserve">163.2</w:t>
            </w:r>
          </w:p>
        </w:tc>
      </w:tr>
    </w:tbl>
    <w:p>
      <w:pPr>
        <w:pStyle w:val="BodyText"/>
      </w:pPr>
      <w:r>
        <w:t xml:space="preserve">Key takeaways:</w:t>
      </w:r>
    </w:p>
    <w:p>
      <w:pPr>
        <w:pStyle w:val="Compact"/>
        <w:numPr>
          <w:ilvl w:val="0"/>
          <w:numId w:val="1001"/>
        </w:numPr>
      </w:pPr>
      <w:r>
        <w:rPr>
          <w:b/>
          <w:bCs/>
        </w:rPr>
        <w:t xml:space="preserve">Ending AUM ~$2.47T is a record</w:t>
      </w:r>
      <w:r>
        <w:t xml:space="preserve">, up ~14% from Q1's $2,159.5B.</w:t>
      </w:r>
    </w:p>
    <w:p>
      <w:pPr>
        <w:pStyle w:val="Compact"/>
        <w:numPr>
          <w:ilvl w:val="0"/>
          <w:numId w:val="1001"/>
        </w:numPr>
      </w:pPr>
      <w:r>
        <w:rPr>
          <w:b/>
          <w:bCs/>
        </w:rPr>
        <w:t xml:space="preserve">Preliminary average total AUM for Q2 was $2,368.8B — up ~6.8% vs. Q1's $2,218.9B and ~24.8% vs. Q2-25's $1,897.4B.</w:t>
      </w:r>
      <w:r>
        <w:t xml:space="preserve"> </w:t>
      </w:r>
      <w:r>
        <w:t xml:space="preserve">Average AUM (not ending) drives fee revenue, so this is the number that matters, and it is unambiguously a tailwind.</w:t>
      </w:r>
    </w:p>
    <w:p>
      <w:pPr>
        <w:pStyle w:val="Compact"/>
        <w:numPr>
          <w:ilvl w:val="0"/>
          <w:numId w:val="1001"/>
        </w:numPr>
      </w:pPr>
      <w:r>
        <w:rPr>
          <w:b/>
          <w:bCs/>
        </w:rPr>
        <w:t xml:space="preserve">QQQ rebounded from</w:t>
      </w:r>
      <w:r>
        <w:rPr>
          <w:b/>
          <w:bCs/>
        </w:rPr>
        <w:t xml:space="preserve"> </w:t>
      </w:r>
      <m:oMath>
        <m:r>
          <m:t>372.5</m:t>
        </m:r>
        <m:r>
          <m:t>B</m:t>
        </m:r>
        <m:r>
          <m:t>t</m:t>
        </m:r>
        <m:r>
          <m:t>o</m:t>
        </m:r>
        <m:r>
          <m:t> </m:t>
        </m:r>
      </m:oMath>
      <w:r>
        <w:rPr>
          <w:b/>
          <w:bCs/>
        </w:rPr>
        <w:t xml:space="preserve">490B.</w:t>
      </w:r>
      <w:r>
        <w:t xml:space="preserve"> </w:t>
      </w:r>
      <w:r>
        <w:t xml:space="preserve">Recall QQQ swung to net outflows in Q1 (–$10.8B, "normal rotation and profit-taking"), but management said on the Q1 call that inflows and demand "returned" in April as volatility abated. The June figure confirms a strong recovery.</w:t>
      </w:r>
    </w:p>
    <w:p>
      <w:pPr>
        <w:pStyle w:val="Compact"/>
        <w:numPr>
          <w:ilvl w:val="0"/>
          <w:numId w:val="1001"/>
        </w:numPr>
      </w:pPr>
      <w:r>
        <w:rPr>
          <w:b/>
          <w:bCs/>
        </w:rPr>
        <w:t xml:space="preserve">China JV kept compounding</w:t>
      </w:r>
      <w:r>
        <w:t xml:space="preserve"> </w:t>
      </w:r>
      <w:r>
        <w:t xml:space="preserve">— from $141.9B to $163.2B — continuing the standout 30%+ annualized organic growth story.</w:t>
      </w:r>
    </w:p>
    <w:p>
      <w:pPr>
        <w:pStyle w:val="Compact"/>
        <w:numPr>
          <w:ilvl w:val="0"/>
          <w:numId w:val="1001"/>
        </w:numPr>
      </w:pPr>
      <w:r>
        <w:t xml:space="preserve">June alone produced</w:t>
      </w:r>
      <w:r>
        <w:t xml:space="preserve"> </w:t>
      </w:r>
      <w:r>
        <w:rPr>
          <w:b/>
          <w:bCs/>
        </w:rPr>
        <w:t xml:space="preserve">+</w:t>
      </w:r>
      <m:oMath>
        <m:r>
          <m:t>8.0</m:t>
        </m:r>
        <m:r>
          <m:t>B</m:t>
        </m:r>
        <m:r>
          <m:t>o</m:t>
        </m:r>
        <m:r>
          <m:t>f</m:t>
        </m:r>
        <m:r>
          <m:t>n</m:t>
        </m:r>
        <m:r>
          <m:t>e</m:t>
        </m:r>
        <m:r>
          <m:t>t</m:t>
        </m:r>
        <m:r>
          <m:t>l</m:t>
        </m:r>
        <m:r>
          <m:t>o</m:t>
        </m:r>
        <m:r>
          <m:t>n</m:t>
        </m:r>
        <m:r>
          <m:t>g</m:t>
        </m:r>
        <m:r>
          <m:rPr>
            <m:sty m:val="p"/>
          </m:rPr>
          <m:t>−</m:t>
        </m:r>
        <m:r>
          <m:t>t</m:t>
        </m:r>
        <m:r>
          <m:t>e</m:t>
        </m:r>
        <m:r>
          <m:t>r</m:t>
        </m:r>
        <m:r>
          <m:t>m</m:t>
        </m:r>
        <m:r>
          <m:t>i</m:t>
        </m:r>
        <m:r>
          <m:t>n</m:t>
        </m:r>
        <m:r>
          <m:t>f</m:t>
        </m:r>
        <m:r>
          <m:t>l</m:t>
        </m:r>
        <m:r>
          <m:t>o</m:t>
        </m:r>
        <m:r>
          <m:t>w</m:t>
        </m:r>
        <m:r>
          <m:t>s</m:t>
        </m:r>
        <m:r>
          <m:rPr>
            <m:sty m:val="p"/>
          </m:rPr>
          <m:t>*</m:t>
        </m:r>
        <m:r>
          <m:rPr>
            <m:sty m:val="p"/>
          </m:rPr>
          <m:t>*</m:t>
        </m:r>
        <m:r>
          <m:t>p</m:t>
        </m:r>
        <m:r>
          <m:t>l</m:t>
        </m:r>
        <m:r>
          <m:t>u</m:t>
        </m:r>
        <m:r>
          <m:t>s</m:t>
        </m:r>
        <m:r>
          <m:rPr>
            <m:sty m:val="p"/>
          </m:rPr>
          <m:t>*</m:t>
        </m:r>
        <m:r>
          <m:rPr>
            <m:sty m:val="p"/>
          </m:rPr>
          <m:t>*</m:t>
        </m:r>
        <m:r>
          <m:rPr>
            <m:sty m:val="p"/>
          </m:rPr>
          <m:t>+</m:t>
        </m:r>
      </m:oMath>
      <w:r>
        <w:rPr>
          <w:b/>
          <w:bCs/>
        </w:rPr>
        <w:t xml:space="preserve">14.3B money-market inflows</w:t>
      </w:r>
      <w:r>
        <w:t xml:space="preserve">, so the quarter almost certainly extended the 11-quarter positive-organic-growth streak to 12.</w:t>
      </w:r>
    </w:p>
    <w:p>
      <w:r>
        <w:pict>
          <v:rect style="width:0;height:1.5pt" o:hralign="center" o:hrstd="t" o:hr="t"/>
        </w:pict>
      </w:r>
    </w:p>
    <w:bookmarkEnd w:id="11"/>
    <w:bookmarkStart w:id="12" w:name="X426753174d4ad2a6b012978e33f414479856adb"/>
    <w:p>
      <w:pPr>
        <w:pStyle w:val="Heading2"/>
      </w:pPr>
      <w:r>
        <w:t xml:space="preserve">2. The year-over-year comp is distorted — read it carefully</w:t>
      </w:r>
    </w:p>
    <w:p>
      <w:pPr>
        <w:pStyle w:val="FirstParagraph"/>
      </w:pPr>
      <w:r>
        <w:t xml:space="preserve">Two structural items make the headline YoY comparison look explosive and require adjustment when judging the "true" beat/miss:</w:t>
      </w:r>
    </w:p>
    <w:p>
      <w:pPr>
        <w:pStyle w:val="Compact"/>
        <w:numPr>
          <w:ilvl w:val="0"/>
          <w:numId w:val="1002"/>
        </w:numPr>
      </w:pPr>
      <w:r>
        <w:rPr>
          <w:b/>
          <w:bCs/>
        </w:rPr>
        <w:t xml:space="preserve">QQQ conversion (Dec 20, 2025):</w:t>
      </w:r>
      <w:r>
        <w:t xml:space="preserve"> </w:t>
      </w:r>
      <w:r>
        <w:t xml:space="preserve">QQQ was reclassified from a UIT (no management fee) to an open-end fund ETF that now earns management fees. In Q2-25 QQQ contributed</w:t>
      </w:r>
      <w:r>
        <w:t xml:space="preserve"> </w:t>
      </w:r>
      <w:r>
        <w:rPr>
          <w:i/>
          <w:iCs/>
        </w:rPr>
        <w:t xml:space="preserve">zero</w:t>
      </w:r>
      <w:r>
        <w:t xml:space="preserve"> </w:t>
      </w:r>
      <w:r>
        <w:t xml:space="preserve">fee revenue on ~</w:t>
      </w:r>
      <m:oMath>
        <m:r>
          <m:t>319</m:t>
        </m:r>
        <m:r>
          <m:t>B</m:t>
        </m:r>
        <m:r>
          <m:t>o</m:t>
        </m:r>
        <m:r>
          <m:t>f</m:t>
        </m:r>
        <m:r>
          <m:t>A</m:t>
        </m:r>
        <m:r>
          <m:t>U</m:t>
        </m:r>
        <m:r>
          <m:t>M</m:t>
        </m:r>
        <m:r>
          <m:rPr>
            <m:sty m:val="p"/>
          </m:rPr>
          <m:t>;</m:t>
        </m:r>
        <m:r>
          <m:t>i</m:t>
        </m:r>
        <m:r>
          <m:t>n</m:t>
        </m:r>
        <m:r>
          <m:t>Q</m:t>
        </m:r>
        <m:r>
          <m:t>2</m:t>
        </m:r>
        <m:r>
          <m:rPr>
            <m:sty m:val="p"/>
          </m:rPr>
          <m:t>−</m:t>
        </m:r>
        <m:r>
          <m:t>26</m:t>
        </m:r>
        <m:r>
          <m:t>i</m:t>
        </m:r>
        <m:r>
          <m:t>t</m:t>
        </m:r>
        <m:r>
          <m:t>w</m:t>
        </m:r>
        <m:r>
          <m:t>i</m:t>
        </m:r>
        <m:r>
          <m:t>l</m:t>
        </m:r>
        <m:r>
          <m:t>l</m:t>
        </m:r>
        <m:r>
          <m:t>c</m:t>
        </m:r>
        <m:r>
          <m:t>o</m:t>
        </m:r>
        <m:r>
          <m:t>n</m:t>
        </m:r>
        <m:r>
          <m:t>t</m:t>
        </m:r>
        <m:r>
          <m:t>r</m:t>
        </m:r>
        <m:r>
          <m:t>i</m:t>
        </m:r>
        <m:r>
          <m:t>b</m:t>
        </m:r>
        <m:r>
          <m:t>u</m:t>
        </m:r>
        <m:r>
          <m:t>t</m:t>
        </m:r>
        <m:r>
          <m:t>e</m:t>
        </m:r>
        <m:r>
          <m:t>a</m:t>
        </m:r>
        <m:r>
          <m:t>f</m:t>
        </m:r>
        <m:r>
          <m:t>u</m:t>
        </m:r>
        <m:r>
          <m:t>l</m:t>
        </m:r>
        <m:r>
          <m:t>l</m:t>
        </m:r>
        <m:r>
          <m:t>q</m:t>
        </m:r>
        <m:r>
          <m:t>u</m:t>
        </m:r>
        <m:r>
          <m:t>a</m:t>
        </m:r>
        <m:r>
          <m:t>r</m:t>
        </m:r>
        <m:r>
          <m:t>t</m:t>
        </m:r>
        <m:r>
          <m:t>e</m:t>
        </m:r>
        <m:r>
          <m:t>r</m:t>
        </m:r>
        <m:r>
          <m:t>o</m:t>
        </m:r>
        <m:r>
          <m:t>f</m:t>
        </m:r>
        <m:r>
          <m:t>f</m:t>
        </m:r>
        <m:r>
          <m:t>e</m:t>
        </m:r>
        <m:r>
          <m:t>e</m:t>
        </m:r>
        <m:r>
          <m:t>s</m:t>
        </m:r>
        <m:r>
          <m:t>o</m:t>
        </m:r>
        <m:r>
          <m:t>n</m:t>
        </m:r>
        <m:r>
          <m:t> </m:t>
        </m:r>
      </m:oMath>
      <w:r>
        <w:t xml:space="preserve">490B. This alone inflates investment-management-fee growth (Q1-26 management fees were already +25.6% YoY largely from this). It also grosses up marketing expense and third-party/pass-through costs, so watch the</w:t>
      </w:r>
      <w:r>
        <w:t xml:space="preserve"> </w:t>
      </w:r>
      <w:r>
        <w:rPr>
          <w:i/>
          <w:iCs/>
        </w:rPr>
        <w:t xml:space="preserve">net revenue</w:t>
      </w:r>
      <w:r>
        <w:t xml:space="preserve"> </w:t>
      </w:r>
      <w:r>
        <w:t xml:space="preserve">and</w:t>
      </w:r>
      <w:r>
        <w:t xml:space="preserve"> </w:t>
      </w:r>
      <w:r>
        <w:rPr>
          <w:i/>
          <w:iCs/>
        </w:rPr>
        <w:t xml:space="preserve">margin</w:t>
      </w:r>
      <w:r>
        <w:t xml:space="preserve"> </w:t>
      </w:r>
      <w:r>
        <w:t xml:space="preserve">lines, not gross revenue.</w:t>
      </w:r>
    </w:p>
    <w:p>
      <w:pPr>
        <w:pStyle w:val="Compact"/>
        <w:numPr>
          <w:ilvl w:val="0"/>
          <w:numId w:val="1002"/>
        </w:numPr>
      </w:pPr>
      <w:r>
        <w:rPr>
          <w:b/>
          <w:bCs/>
        </w:rPr>
        <w:t xml:space="preserve">Prior-year noise:</w:t>
      </w:r>
      <w:r>
        <w:t xml:space="preserve"> </w:t>
      </w:r>
      <w:r>
        <w:t xml:space="preserve">Q2-25 GAAP EPS was</w:t>
      </w:r>
      <w:r>
        <w:t xml:space="preserve"> </w:t>
      </w:r>
      <w:r>
        <w:rPr>
          <w:b/>
          <w:bCs/>
        </w:rPr>
        <w:t xml:space="preserve">–$0.03</w:t>
      </w:r>
      <w:r>
        <w:t xml:space="preserve">, dragged by a $159.3M cost tied to the</w:t>
      </w:r>
      <w:r>
        <w:t xml:space="preserve"> </w:t>
      </w:r>
      <m:oMath>
        <m:r>
          <m:t>1.0</m:t>
        </m:r>
        <m:r>
          <m:t>B</m:t>
        </m:r>
        <m:r>
          <m:t>M</m:t>
        </m:r>
        <m:r>
          <m:t>a</m:t>
        </m:r>
        <m:r>
          <m:t>s</m:t>
        </m:r>
        <m:r>
          <m:t>s</m:t>
        </m:r>
        <m:r>
          <m:t>M</m:t>
        </m:r>
        <m:r>
          <m:t>u</m:t>
        </m:r>
        <m:r>
          <m:t>t</m:t>
        </m:r>
        <m:r>
          <m:t>u</m:t>
        </m:r>
        <m:r>
          <m:t>a</m:t>
        </m:r>
        <m:r>
          <m:t>l</m:t>
        </m:r>
        <m:r>
          <m:t>p</m:t>
        </m:r>
        <m:r>
          <m:t>r</m:t>
        </m:r>
        <m:r>
          <m:t>e</m:t>
        </m:r>
        <m:r>
          <m:t>f</m:t>
        </m:r>
        <m:r>
          <m:t>e</m:t>
        </m:r>
        <m:r>
          <m:t>r</m:t>
        </m:r>
        <m:r>
          <m:t>r</m:t>
        </m:r>
        <m:r>
          <m:t>e</m:t>
        </m:r>
        <m:r>
          <m:t>d</m:t>
        </m:r>
        <m:r>
          <m:t>r</m:t>
        </m:r>
        <m:r>
          <m:t>e</m:t>
        </m:r>
        <m:r>
          <m:t>p</m:t>
        </m:r>
        <m:r>
          <m:t>u</m:t>
        </m:r>
        <m:r>
          <m:t>r</m:t>
        </m:r>
        <m:r>
          <m:t>c</m:t>
        </m:r>
        <m:r>
          <m:t>h</m:t>
        </m:r>
        <m:r>
          <m:t>a</m:t>
        </m:r>
        <m:r>
          <m:t>s</m:t>
        </m:r>
        <m:r>
          <m:t>e</m:t>
        </m:r>
        <m:r>
          <m:rPr>
            <m:sty m:val="p"/>
          </m:rPr>
          <m:t>;</m:t>
        </m:r>
        <m:r>
          <m:t>a</m:t>
        </m:r>
        <m:r>
          <m:t>d</m:t>
        </m:r>
        <m:r>
          <m:t>j</m:t>
        </m:r>
        <m:r>
          <m:t>u</m:t>
        </m:r>
        <m:r>
          <m:t>s</m:t>
        </m:r>
        <m:r>
          <m:t>t</m:t>
        </m:r>
        <m:r>
          <m:t>e</m:t>
        </m:r>
        <m:r>
          <m:t>d</m:t>
        </m:r>
        <m:r>
          <m:t>E</m:t>
        </m:r>
        <m:r>
          <m:t>P</m:t>
        </m:r>
        <m:r>
          <m:t>S</m:t>
        </m:r>
        <m:r>
          <m:t>w</m:t>
        </m:r>
        <m:r>
          <m:t>a</m:t>
        </m:r>
        <m:r>
          <m:t>s</m:t>
        </m:r>
        <m:r>
          <m:rPr>
            <m:sty m:val="p"/>
          </m:rPr>
          <m:t>*</m:t>
        </m:r>
        <m:r>
          <m:rPr>
            <m:sty m:val="p"/>
          </m:rPr>
          <m:t>*</m:t>
        </m:r>
      </m:oMath>
      <w:r>
        <w:t xml:space="preserve">0.36**. So a Q2-26 adjusted number in the high-</w:t>
      </w:r>
      <m:oMath>
        <m:r>
          <m:t>0.60</m:t>
        </m:r>
        <m:r>
          <m:t>s</m:t>
        </m:r>
        <m:r>
          <m:t>w</m:t>
        </m:r>
        <m:r>
          <m:t>o</m:t>
        </m:r>
        <m:r>
          <m:t>u</m:t>
        </m:r>
        <m:r>
          <m:t>l</m:t>
        </m:r>
        <m:r>
          <m:t>d</m:t>
        </m:r>
        <m:r>
          <m:t>o</m:t>
        </m:r>
        <m:r>
          <m:t>p</m:t>
        </m:r>
        <m:r>
          <m:t>t</m:t>
        </m:r>
        <m:r>
          <m:t>i</m:t>
        </m:r>
        <m:r>
          <m:t>c</m:t>
        </m:r>
        <m:r>
          <m:t>a</m:t>
        </m:r>
        <m:r>
          <m:t>l</m:t>
        </m:r>
        <m:r>
          <m:t>l</m:t>
        </m:r>
        <m:r>
          <m:t>y</m:t>
        </m:r>
        <m:r>
          <m:t>b</m:t>
        </m:r>
        <m:r>
          <m:t>e</m:t>
        </m:r>
        <m:r>
          <m:t>a</m:t>
        </m:r>
        <m:r>
          <m:t>n</m:t>
        </m:r>
        <m:r>
          <m:t>e</m:t>
        </m:r>
        <m:r>
          <m:t>a</m:t>
        </m:r>
        <m:r>
          <m:t>r</m:t>
        </m:r>
        <m:r>
          <m:rPr>
            <m:sty m:val="p"/>
          </m:rPr>
          <m:t>−</m:t>
        </m:r>
        <m:r>
          <m:t>d</m:t>
        </m:r>
        <m:r>
          <m:t>o</m:t>
        </m:r>
        <m:r>
          <m:t>u</m:t>
        </m:r>
        <m:r>
          <m:t>b</m:t>
        </m:r>
        <m:r>
          <m:t>l</m:t>
        </m:r>
        <m:r>
          <m:t>i</m:t>
        </m:r>
        <m:r>
          <m:t>n</m:t>
        </m:r>
        <m:r>
          <m:t>g</m:t>
        </m:r>
        <m:r>
          <m:t>Y</m:t>
        </m:r>
        <m:r>
          <m:t>o</m:t>
        </m:r>
        <m:r>
          <m:t>Y</m:t>
        </m:r>
        <m:r>
          <m:t>b</m:t>
        </m:r>
        <m:r>
          <m:t>u</m:t>
        </m:r>
        <m:r>
          <m:t>t</m:t>
        </m:r>
        <m:r>
          <m:t>i</m:t>
        </m:r>
        <m:r>
          <m:t>s</m:t>
        </m:r>
        <m:r>
          <m:t>b</m:t>
        </m:r>
        <m:r>
          <m:t>e</m:t>
        </m:r>
        <m:r>
          <m:t>t</m:t>
        </m:r>
        <m:r>
          <m:t>t</m:t>
        </m:r>
        <m:r>
          <m:t>e</m:t>
        </m:r>
        <m:r>
          <m:t>r</m:t>
        </m:r>
        <m:r>
          <m:t>u</m:t>
        </m:r>
        <m:r>
          <m:t>n</m:t>
        </m:r>
        <m:r>
          <m:t>d</m:t>
        </m:r>
        <m:r>
          <m:t>e</m:t>
        </m:r>
        <m:r>
          <m:t>r</m:t>
        </m:r>
        <m:r>
          <m:t>s</m:t>
        </m:r>
        <m:r>
          <m:t>t</m:t>
        </m:r>
        <m:r>
          <m:t>o</m:t>
        </m:r>
        <m:r>
          <m:t>o</m:t>
        </m:r>
        <m:r>
          <m:t>d</m:t>
        </m:r>
        <m:r>
          <m:t>a</m:t>
        </m:r>
        <m:r>
          <m:t>g</m:t>
        </m:r>
        <m:r>
          <m:t>a</m:t>
        </m:r>
        <m:r>
          <m:t>i</m:t>
        </m:r>
        <m:r>
          <m:t>n</m:t>
        </m:r>
        <m:r>
          <m:t>s</m:t>
        </m:r>
        <m:r>
          <m:t>t</m:t>
        </m:r>
        <m:r>
          <m:t>Q</m:t>
        </m:r>
        <m:r>
          <m:t>1</m:t>
        </m:r>
        <m:r>
          <m:rPr>
            <m:sty m:val="p"/>
          </m:rPr>
          <m:t>−</m:t>
        </m:r>
        <m:sSup>
          <m:e>
            <m:r>
              <m:t>26</m:t>
            </m:r>
          </m:e>
          <m:sup>
            <m:r>
              <m:rPr>
                <m:sty m:val="p"/>
              </m:rPr>
              <m:t>′</m:t>
            </m:r>
          </m:sup>
        </m:sSup>
        <m:r>
          <m:t>s</m:t>
        </m:r>
        <m:r>
          <m:t>c</m:t>
        </m:r>
        <m:r>
          <m:t>l</m:t>
        </m:r>
        <m:r>
          <m:t>e</m:t>
        </m:r>
        <m:r>
          <m:t>a</m:t>
        </m:r>
        <m:r>
          <m:t>n</m:t>
        </m:r>
        <m:r>
          <m:rPr>
            <m:sty m:val="p"/>
          </m:rPr>
          <m:t>*</m:t>
        </m:r>
        <m:r>
          <m:rPr>
            <m:sty m:val="p"/>
          </m:rPr>
          <m:t>*</m:t>
        </m:r>
      </m:oMath>
      <w:r>
        <w:t xml:space="preserve">0.57**.</w:t>
      </w:r>
    </w:p>
    <w:p>
      <w:pPr>
        <w:pStyle w:val="FirstParagraph"/>
      </w:pPr>
      <w:r>
        <w:rPr>
          <w:b/>
          <w:bCs/>
        </w:rPr>
        <w:t xml:space="preserve">Recent quarterly track record (adjusted):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pPr>
            <w:r>
              <w:t xml:space="preserve">Q2-25</w:t>
            </w:r>
          </w:p>
        </w:tc>
        <w:tc>
          <w:tcPr/>
          <w:p>
            <w:pPr>
              <w:pStyle w:val="Compact"/>
            </w:pPr>
            <w:r>
              <w:t xml:space="preserve">Q3-25</w:t>
            </w:r>
          </w:p>
        </w:tc>
        <w:tc>
          <w:tcPr/>
          <w:p>
            <w:pPr>
              <w:pStyle w:val="Compact"/>
            </w:pPr>
            <w:r>
              <w:t xml:space="preserve">Q4-25</w:t>
            </w:r>
          </w:p>
        </w:tc>
        <w:tc>
          <w:tcPr/>
          <w:p>
            <w:pPr>
              <w:pStyle w:val="Compact"/>
            </w:pPr>
            <w:r>
              <w:t xml:space="preserve">Q1-26</w:t>
            </w:r>
          </w:p>
        </w:tc>
      </w:tr>
      <w:tr>
        <w:tc>
          <w:tcPr/>
          <w:p>
            <w:pPr>
              <w:pStyle w:val="Compact"/>
            </w:pPr>
            <w:r>
              <w:t xml:space="preserve">Net revenues ($M)</w:t>
            </w:r>
          </w:p>
        </w:tc>
        <w:tc>
          <w:tcPr/>
          <w:p>
            <w:pPr>
              <w:pStyle w:val="Compact"/>
            </w:pPr>
            <w:r>
              <w:t xml:space="preserve">1,104.6</w:t>
            </w:r>
          </w:p>
        </w:tc>
        <w:tc>
          <w:tcPr/>
          <w:p>
            <w:pPr>
              <w:pStyle w:val="Compact"/>
            </w:pPr>
            <w:r>
              <w:t xml:space="preserve">—</w:t>
            </w:r>
          </w:p>
        </w:tc>
        <w:tc>
          <w:tcPr/>
          <w:p>
            <w:pPr>
              <w:pStyle w:val="Compact"/>
            </w:pPr>
            <w:r>
              <w:t xml:space="preserve">1,258.9</w:t>
            </w:r>
          </w:p>
        </w:tc>
        <w:tc>
          <w:tcPr/>
          <w:p>
            <w:pPr>
              <w:pStyle w:val="Compact"/>
            </w:pPr>
            <w:r>
              <w:t xml:space="preserve">1,264.3</w:t>
            </w:r>
          </w:p>
        </w:tc>
      </w:tr>
      <w:tr>
        <w:tc>
          <w:tcPr/>
          <w:p>
            <w:pPr>
              <w:pStyle w:val="Compact"/>
            </w:pPr>
            <w:r>
              <w:t xml:space="preserve">Adj. operating margin</w:t>
            </w:r>
          </w:p>
        </w:tc>
        <w:tc>
          <w:tcPr/>
          <w:p>
            <w:pPr>
              <w:pStyle w:val="Compact"/>
            </w:pPr>
            <w:r>
              <w:t xml:space="preserve">31.2%</w:t>
            </w:r>
          </w:p>
        </w:tc>
        <w:tc>
          <w:tcPr/>
          <w:p>
            <w:pPr>
              <w:pStyle w:val="Compact"/>
            </w:pPr>
            <w:r>
              <w:t xml:space="preserve">—</w:t>
            </w:r>
          </w:p>
        </w:tc>
        <w:tc>
          <w:tcPr/>
          <w:p>
            <w:pPr>
              <w:pStyle w:val="Compact"/>
            </w:pPr>
            <w:r>
              <w:t xml:space="preserve">36.4%</w:t>
            </w:r>
          </w:p>
        </w:tc>
        <w:tc>
          <w:tcPr/>
          <w:p>
            <w:pPr>
              <w:pStyle w:val="Compact"/>
            </w:pPr>
            <w:r>
              <w:t xml:space="preserve">34.5%</w:t>
            </w:r>
          </w:p>
        </w:tc>
      </w:tr>
      <w:tr>
        <w:tc>
          <w:tcPr/>
          <w:p>
            <w:pPr>
              <w:pStyle w:val="Compact"/>
            </w:pPr>
            <w:r>
              <w:t xml:space="preserve">Adj. diluted EPS</w:t>
            </w:r>
          </w:p>
        </w:tc>
        <w:tc>
          <w:tcPr/>
          <w:p>
            <w:pPr>
              <w:pStyle w:val="Compact"/>
            </w:pPr>
            <w:r>
              <w:t xml:space="preserve">$0.36</w:t>
            </w:r>
          </w:p>
        </w:tc>
        <w:tc>
          <w:tcPr/>
          <w:p>
            <w:pPr>
              <w:pStyle w:val="Compact"/>
            </w:pPr>
            <w:r>
              <w:t xml:space="preserve">—</w:t>
            </w:r>
          </w:p>
        </w:tc>
        <w:tc>
          <w:tcPr/>
          <w:p>
            <w:pPr>
              <w:pStyle w:val="Compact"/>
            </w:pPr>
            <w:r>
              <w:t xml:space="preserve">$0.62</w:t>
            </w:r>
          </w:p>
        </w:tc>
        <w:tc>
          <w:tcPr/>
          <w:p>
            <w:pPr>
              <w:pStyle w:val="Compact"/>
            </w:pPr>
            <w:r>
              <w:t xml:space="preserve">$0.57</w:t>
            </w:r>
          </w:p>
        </w:tc>
      </w:tr>
    </w:tbl>
    <w:p>
      <w:r>
        <w:pict>
          <v:rect style="width:0;height:1.5pt" o:hralign="center" o:hrstd="t" o:hr="t"/>
        </w:pict>
      </w:r>
    </w:p>
    <w:bookmarkEnd w:id="12"/>
    <w:bookmarkStart w:id="13" w:name="Xb5d685e2eec673f207139f2edb17514b83a230e"/>
    <w:p>
      <w:pPr>
        <w:pStyle w:val="Heading2"/>
      </w:pPr>
      <w:r>
        <w:t xml:space="preserve">3. My rough model for Q2 (frame your expectations)</w:t>
      </w:r>
    </w:p>
    <w:p>
      <w:pPr>
        <w:pStyle w:val="FirstParagraph"/>
      </w:pPr>
      <w:r>
        <w:t xml:space="preserve">Holding the Q1 net revenue yield (~5.7 bps/quarter, ~22.8 bps annualized — which management said is stabilizing/inflecting) flat against Q2 average AUM of</w:t>
      </w:r>
      <w:r>
        <w:t xml:space="preserve"> </w:t>
      </w:r>
      <m:oMath>
        <m:r>
          <m:t>2</m:t>
        </m:r>
        <m:r>
          <m:rPr>
            <m:sty m:val="p"/>
          </m:rPr>
          <m:t>,</m:t>
        </m:r>
        <m:r>
          <m:t>368.8</m:t>
        </m:r>
        <m:r>
          <m:t>B</m:t>
        </m:r>
        <m:r>
          <m:t>i</m:t>
        </m:r>
        <m:r>
          <m:t>m</m:t>
        </m:r>
        <m:r>
          <m:t>p</m:t>
        </m:r>
        <m:r>
          <m:t>l</m:t>
        </m:r>
        <m:r>
          <m:t>i</m:t>
        </m:r>
        <m:r>
          <m:t>e</m:t>
        </m:r>
        <m:r>
          <m:t>s</m:t>
        </m:r>
        <m:r>
          <m:rPr>
            <m:sty m:val="p"/>
          </m:rPr>
          <m:t>*</m:t>
        </m:r>
        <m:r>
          <m:rPr>
            <m:sty m:val="p"/>
          </m:rPr>
          <m:t>*</m:t>
        </m:r>
        <m:r>
          <m:t>n</m:t>
        </m:r>
        <m:r>
          <m:t>e</m:t>
        </m:r>
        <m:r>
          <m:t>t</m:t>
        </m:r>
        <m:r>
          <m:t>r</m:t>
        </m:r>
        <m:r>
          <m:t>e</m:t>
        </m:r>
        <m:r>
          <m:t>v</m:t>
        </m:r>
        <m:r>
          <m:t>e</m:t>
        </m:r>
        <m:r>
          <m:t>n</m:t>
        </m:r>
        <m:r>
          <m:t>u</m:t>
        </m:r>
        <m:r>
          <m:t>e</m:t>
        </m:r>
        <m:r>
          <m:t>o</m:t>
        </m:r>
        <m:r>
          <m:t>f</m:t>
        </m:r>
        <m:r>
          <m:t>r</m:t>
        </m:r>
        <m:r>
          <m:t>o</m:t>
        </m:r>
        <m:r>
          <m:t>u</m:t>
        </m:r>
        <m:r>
          <m:t>g</m:t>
        </m:r>
        <m:r>
          <m:t>h</m:t>
        </m:r>
        <m:r>
          <m:t>l</m:t>
        </m:r>
        <m:r>
          <m:t>y</m:t>
        </m:r>
        <m:r>
          <m:t> </m:t>
        </m:r>
      </m:oMath>
      <w:r>
        <w:t xml:space="preserve">1.35B**, up ~7% sequentially and ~22% YoY. With adjusted operating expenses guided to a ~</w:t>
      </w:r>
      <m:oMath>
        <m:r>
          <m:t>3.275</m:t>
        </m:r>
        <m:r>
          <m:t>B</m:t>
        </m:r>
        <m:r>
          <m:t>a</m:t>
        </m:r>
        <m:r>
          <m:t>n</m:t>
        </m:r>
        <m:r>
          <m:t>n</m:t>
        </m:r>
        <m:r>
          <m:t>u</m:t>
        </m:r>
        <m:r>
          <m:t>a</m:t>
        </m:r>
        <m:r>
          <m:t>l</m:t>
        </m:r>
        <m:r>
          <m:t>r</m:t>
        </m:r>
        <m:r>
          <m:t>u</m:t>
        </m:r>
        <m:r>
          <m:t>n</m:t>
        </m:r>
        <m:r>
          <m:rPr>
            <m:sty m:val="p"/>
          </m:rPr>
          <m:t>−</m:t>
        </m:r>
        <m:r>
          <m:t>r</m:t>
        </m:r>
        <m:r>
          <m:t>a</m:t>
        </m:r>
        <m:r>
          <m:t>t</m:t>
        </m:r>
        <m:r>
          <m:t>e</m:t>
        </m:r>
        <m:r>
          <m:rPr>
            <m:sty m:val="p"/>
          </m:rPr>
          <m:t>(</m:t>
        </m:r>
        <m:r>
          <m:t> </m:t>
        </m:r>
      </m:oMath>
      <w:r>
        <w:t xml:space="preserve">815–820M/quarter) and Q1's elevated seasonal comp items rolling off (the</w:t>
      </w:r>
      <w:r>
        <w:t xml:space="preserve"> </w:t>
      </w:r>
      <m:oMath>
        <m:r>
          <m:t>33</m:t>
        </m:r>
        <m:r>
          <m:t>M</m:t>
        </m:r>
        <m:r>
          <m:t>a</m:t>
        </m:r>
        <m:r>
          <m:t>c</m:t>
        </m:r>
        <m:r>
          <m:t>c</m:t>
        </m:r>
        <m:r>
          <m:t>e</m:t>
        </m:r>
        <m:r>
          <m:t>l</m:t>
        </m:r>
        <m:r>
          <m:t>e</m:t>
        </m:r>
        <m:r>
          <m:t>r</m:t>
        </m:r>
        <m:r>
          <m:t>a</m:t>
        </m:r>
        <m:r>
          <m:t>t</m:t>
        </m:r>
        <m:r>
          <m:t>e</m:t>
        </m:r>
        <m:r>
          <m:t>d</m:t>
        </m:r>
        <m:r>
          <m:t>r</m:t>
        </m:r>
        <m:r>
          <m:t>e</m:t>
        </m:r>
        <m:r>
          <m:t>t</m:t>
        </m:r>
        <m:r>
          <m:t>i</m:t>
        </m:r>
        <m:r>
          <m:t>r</m:t>
        </m:r>
        <m:r>
          <m:t>e</m:t>
        </m:r>
        <m:r>
          <m:t>m</m:t>
        </m:r>
        <m:r>
          <m:t>e</m:t>
        </m:r>
        <m:r>
          <m:t>n</m:t>
        </m:r>
        <m:r>
          <m:t>t</m:t>
        </m:r>
        <m:r>
          <m:rPr>
            <m:sty m:val="p"/>
          </m:rPr>
          <m:t>−</m:t>
        </m:r>
        <m:r>
          <m:t>a</m:t>
        </m:r>
        <m:r>
          <m:t>w</m:t>
        </m:r>
        <m:r>
          <m:t>a</m:t>
        </m:r>
        <m:r>
          <m:t>r</m:t>
        </m:r>
        <m:r>
          <m:t>d</m:t>
        </m:r>
        <m:r>
          <m:t>e</m:t>
        </m:r>
        <m:r>
          <m:t>x</m:t>
        </m:r>
        <m:r>
          <m:t>p</m:t>
        </m:r>
        <m:r>
          <m:t>e</m:t>
        </m:r>
        <m:r>
          <m:t>n</m:t>
        </m:r>
        <m:r>
          <m:t>s</m:t>
        </m:r>
        <m:r>
          <m:t>e</m:t>
        </m:r>
        <m:r>
          <m:t>a</m:t>
        </m:r>
        <m:r>
          <m:t>n</m:t>
        </m:r>
        <m:r>
          <m:t>d</m:t>
        </m:r>
        <m:r>
          <m:t> </m:t>
        </m:r>
      </m:oMath>
      <w:r>
        <w:t xml:space="preserve">15M of seasonal payroll taxes),</w:t>
      </w:r>
      <w:r>
        <w:t xml:space="preserve"> </w:t>
      </w:r>
      <w:r>
        <w:rPr>
          <w:b/>
          <w:bCs/>
        </w:rPr>
        <w:t xml:space="preserve">adjusted operating income should step up meaningfully — plausibly ~</w:t>
      </w:r>
      <m:oMath>
        <m:r>
          <m:t>510</m:t>
        </m:r>
        <m:r>
          <m:rPr>
            <m:sty m:val="p"/>
          </m:rPr>
          <m:t>–</m:t>
        </m:r>
        <m:r>
          <m:t>540</m:t>
        </m:r>
        <m:r>
          <m:t>M</m:t>
        </m:r>
        <m:r>
          <m:rPr>
            <m:sty m:val="p"/>
          </m:rPr>
          <m:t>,</m:t>
        </m:r>
        <m:r>
          <m:t>p</m:t>
        </m:r>
        <m:r>
          <m:t>u</m:t>
        </m:r>
        <m:r>
          <m:t>s</m:t>
        </m:r>
        <m:r>
          <m:t>h</m:t>
        </m:r>
        <m:r>
          <m:t>i</m:t>
        </m:r>
        <m:r>
          <m:t>n</m:t>
        </m:r>
        <m:r>
          <m:t>g</m:t>
        </m:r>
        <m:r>
          <m:t>a</m:t>
        </m:r>
        <m:r>
          <m:t>d</m:t>
        </m:r>
        <m:r>
          <m:t>j</m:t>
        </m:r>
        <m:r>
          <m:t>u</m:t>
        </m:r>
        <m:r>
          <m:t>s</m:t>
        </m:r>
        <m:r>
          <m:t>t</m:t>
        </m:r>
        <m:r>
          <m:t>e</m:t>
        </m:r>
        <m:r>
          <m:t>d</m:t>
        </m:r>
        <m:r>
          <m:t>o</m:t>
        </m:r>
        <m:r>
          <m:t>p</m:t>
        </m:r>
        <m:r>
          <m:t>e</m:t>
        </m:r>
        <m:r>
          <m:t>r</m:t>
        </m:r>
        <m:r>
          <m:t>a</m:t>
        </m:r>
        <m:r>
          <m:t>t</m:t>
        </m:r>
        <m:r>
          <m:t>i</m:t>
        </m:r>
        <m:r>
          <m:t>n</m:t>
        </m:r>
        <m:r>
          <m:t>g</m:t>
        </m:r>
        <m:r>
          <m:t>m</m:t>
        </m:r>
        <m:r>
          <m:t>a</m:t>
        </m:r>
        <m:r>
          <m:t>r</m:t>
        </m:r>
        <m:r>
          <m:t>g</m:t>
        </m:r>
        <m:r>
          <m:t>i</m:t>
        </m:r>
        <m:r>
          <m:t>n</m:t>
        </m:r>
        <m:r>
          <m:t>t</m:t>
        </m:r>
        <m:r>
          <m:t>o</m:t>
        </m:r>
        <m:r>
          <m:t>w</m:t>
        </m:r>
        <m:r>
          <m:t>a</m:t>
        </m:r>
        <m:r>
          <m:t>r</m:t>
        </m:r>
        <m:r>
          <m:t>d</m:t>
        </m:r>
        <m:r>
          <m:t> </m:t>
        </m:r>
        <m:r>
          <m:t>37</m:t>
        </m:r>
        <m:r>
          <m:rPr>
            <m:sty m:val="p"/>
          </m:rPr>
          <m:t>–</m:t>
        </m:r>
        <m:r>
          <m:t>39</m:t>
        </m:r>
      </m:oMath>
      <w:r>
        <w:rPr>
          <w:b/>
          <w:bCs/>
        </w:rPr>
        <w:t xml:space="preserve">0.65–0.70 zone</w:t>
      </w:r>
      <w:r>
        <w:t xml:space="preserve"> </w:t>
      </w:r>
      <w:r>
        <w:t xml:space="preserve">(vs. $0.57 in Q1 and $0.36 in Q2-25).</w:t>
      </w:r>
    </w:p>
    <w:p>
      <w:pPr>
        <w:pStyle w:val="BodyText"/>
      </w:pPr>
      <w:r>
        <w:rPr>
          <w:i/>
          <w:iCs/>
        </w:rPr>
        <w:t xml:space="preserve">Treat these as my directional estimates, not consensus — I couldn't retrieve a reliable Street number.</w:t>
      </w:r>
      <w:r>
        <w:t xml:space="preserve"> </w:t>
      </w:r>
      <w:r>
        <w:t xml:space="preserve">The point is that the setup skews toward strong sequential and YoY operating leverage; the risk is more in tone/guidance and in QQQ competitive commentary than in the printed quarter.</w:t>
      </w:r>
    </w:p>
    <w:p>
      <w:pPr>
        <w:pStyle w:val="BodyText"/>
      </w:pPr>
      <w:r>
        <w:t xml:space="preserve">Modeling housekeeping: management guided Q2 GAAP effective tax rate to</w:t>
      </w:r>
      <w:r>
        <w:t xml:space="preserve"> </w:t>
      </w:r>
      <w:r>
        <w:rPr>
          <w:b/>
          <w:bCs/>
        </w:rPr>
        <w:t xml:space="preserve">25–26%</w:t>
      </w:r>
      <w:r>
        <w:t xml:space="preserve"> </w:t>
      </w:r>
      <w:r>
        <w:t xml:space="preserve">(adjusted was 23.6% in Q1); watch pass-through mechanics (third-party + distribution fees / management fees expected in the</w:t>
      </w:r>
      <w:r>
        <w:t xml:space="preserve"> </w:t>
      </w:r>
      <w:r>
        <w:rPr>
          <w:b/>
          <w:bCs/>
        </w:rPr>
        <w:t xml:space="preserve">22–23%</w:t>
      </w:r>
      <w:r>
        <w:t xml:space="preserve"> </w:t>
      </w:r>
      <w:r>
        <w:t xml:space="preserve">range with full QQQ impact).</w:t>
      </w:r>
    </w:p>
    <w:p>
      <w:r>
        <w:pict>
          <v:rect style="width:0;height:1.5pt" o:hralign="center" o:hrstd="t" o:hr="t"/>
        </w:pict>
      </w:r>
    </w:p>
    <w:bookmarkEnd w:id="13"/>
    <w:bookmarkStart w:id="14" w:name="Xed29643c6c63e54baa230eecaeb583fa5b44efd"/>
    <w:p>
      <w:pPr>
        <w:pStyle w:val="Heading2"/>
      </w:pPr>
      <w:r>
        <w:t xml:space="preserve">4. The key debates / what to listen for on the call</w:t>
      </w:r>
    </w:p>
    <w:p>
      <w:pPr>
        <w:pStyle w:val="FirstParagraph"/>
      </w:pPr>
      <w:r>
        <w:rPr>
          <w:b/>
          <w:bCs/>
        </w:rPr>
        <w:t xml:space="preserve">a) QQQ competitive moat — the marquee issue.</w:t>
      </w:r>
      <w:r>
        <w:t xml:space="preserve"> </w:t>
      </w:r>
      <w:r>
        <w:t xml:space="preserve">NASDAQ has expanded licensing to allow additional U.S.-listed Nasdaq-100 ETFs. Management pushed back hard in Q1: any competitor pays the</w:t>
      </w:r>
      <w:r>
        <w:t xml:space="preserve"> </w:t>
      </w:r>
      <w:r>
        <w:rPr>
          <w:i/>
          <w:iCs/>
        </w:rPr>
        <w:t xml:space="preserve">same</w:t>
      </w:r>
      <w:r>
        <w:t xml:space="preserve"> </w:t>
      </w:r>
      <w:r>
        <w:t xml:space="preserve">8 bp index-licensing fee; QQQ's edge is 25+ years of brand, unmatched liquidity/tight spreads, deep options markets, and high tax-driven switching costs on an entrenched installed base (they cite that QQQM expanded the ecosystem without cannibalizing QQQ). With QQQ now a core fee driver (~</w:t>
      </w:r>
      <w:r>
        <w:t xml:space="preserve">$490B), any evidence on **flow retention, fee posture, and the international QQQ rollout (Japan launching this year, after Hong Kong)** will move the stock. The broader QQQ "innovation suite" is ~$</w:t>
      </w:r>
      <w:r>
        <w:t xml:space="preserve">550B globally.</w:t>
      </w:r>
    </w:p>
    <w:p>
      <w:pPr>
        <w:pStyle w:val="BodyText"/>
      </w:pPr>
      <w:r>
        <w:rPr>
          <w:b/>
          <w:bCs/>
        </w:rPr>
        <w:t xml:space="preserve">b) Organic growth breadth &amp; mix.</w:t>
      </w:r>
      <w:r>
        <w:t xml:space="preserve"> </w:t>
      </w:r>
      <w:r>
        <w:t xml:space="preserve">Q1 delivered</w:t>
      </w:r>
      <w:r>
        <w:t xml:space="preserve"> </w:t>
      </w:r>
      <m:oMath>
        <m:r>
          <m:t>21.8</m:t>
        </m:r>
        <m:r>
          <m:t>B</m:t>
        </m:r>
        <m:r>
          <m:t>n</m:t>
        </m:r>
        <m:r>
          <m:t>e</m:t>
        </m:r>
        <m:r>
          <m:t>t</m:t>
        </m:r>
        <m:r>
          <m:t>L</m:t>
        </m:r>
        <m:r>
          <m:t>T</m:t>
        </m:r>
        <m:r>
          <m:t>i</m:t>
        </m:r>
        <m:r>
          <m:t>n</m:t>
        </m:r>
        <m:r>
          <m:t>f</m:t>
        </m:r>
        <m:r>
          <m:t>l</m:t>
        </m:r>
        <m:r>
          <m:t>o</m:t>
        </m:r>
        <m:r>
          <m:t>w</m:t>
        </m:r>
        <m:r>
          <m:t>s</m:t>
        </m:r>
        <m:r>
          <m:rPr>
            <m:sty m:val="p"/>
          </m:rPr>
          <m:t>(</m:t>
        </m:r>
        <m:r>
          <m:t>4.4</m:t>
        </m:r>
      </m:oMath>
      <w:r>
        <w:t xml:space="preserve">18.6B), China JV (+</w:t>
      </w:r>
      <m:oMath>
        <m:r>
          <m:t>8.7</m:t>
        </m:r>
        <m:r>
          <m:t>B</m:t>
        </m:r>
        <m:r>
          <m:rPr>
            <m:sty m:val="p"/>
          </m:rPr>
          <m:t>)</m:t>
        </m:r>
        <m:r>
          <m:rPr>
            <m:sty m:val="p"/>
          </m:rPr>
          <m:t>,</m:t>
        </m:r>
        <m:r>
          <m:t>f</m:t>
        </m:r>
        <m:r>
          <m:t>u</m:t>
        </m:r>
        <m:r>
          <m:t>n</m:t>
        </m:r>
        <m:r>
          <m:t>d</m:t>
        </m:r>
        <m:r>
          <m:t>a</m:t>
        </m:r>
        <m:r>
          <m:t>m</m:t>
        </m:r>
        <m:r>
          <m:t>e</m:t>
        </m:r>
        <m:r>
          <m:t>n</m:t>
        </m:r>
        <m:r>
          <m:t>t</m:t>
        </m:r>
        <m:r>
          <m:t>a</m:t>
        </m:r>
        <m:r>
          <m:t>l</m:t>
        </m:r>
        <m:r>
          <m:t>f</m:t>
        </m:r>
        <m:r>
          <m:t>i</m:t>
        </m:r>
        <m:r>
          <m:t>x</m:t>
        </m:r>
        <m:r>
          <m:t>e</m:t>
        </m:r>
        <m:r>
          <m:t>d</m:t>
        </m:r>
        <m:r>
          <m:t>i</m:t>
        </m:r>
        <m:r>
          <m:t>n</m:t>
        </m:r>
        <m:r>
          <m:t>c</m:t>
        </m:r>
        <m:r>
          <m:t>o</m:t>
        </m:r>
        <m:r>
          <m:t>m</m:t>
        </m:r>
        <m:r>
          <m:t>e</m:t>
        </m:r>
        <m:r>
          <m:rPr>
            <m:sty m:val="p"/>
          </m:rPr>
          <m:t>(</m:t>
        </m:r>
        <m:r>
          <m:rPr>
            <m:sty m:val="p"/>
          </m:rPr>
          <m:t>+</m:t>
        </m:r>
      </m:oMath>
      <w:r>
        <w:t xml:space="preserve">3.7B), and multi-asset**, plus record active inflows (~</w:t>
      </w:r>
      <m:oMath>
        <m:r>
          <m:t>15</m:t>
        </m:r>
        <m:r>
          <m:t>B</m:t>
        </m:r>
        <m:r>
          <m:rPr>
            <m:sty m:val="p"/>
          </m:rPr>
          <m:t>)</m:t>
        </m:r>
        <m:r>
          <m:t>a</m:t>
        </m:r>
        <m:r>
          <m:t>n</m:t>
        </m:r>
        <m:r>
          <m:t>d</m:t>
        </m:r>
        <m:r>
          <m:t>m</m:t>
        </m:r>
        <m:r>
          <m:t>o</m:t>
        </m:r>
        <m:r>
          <m:t>d</m:t>
        </m:r>
        <m:r>
          <m:t>e</m:t>
        </m:r>
        <m:r>
          <m:t>r</m:t>
        </m:r>
        <m:r>
          <m:t>a</m:t>
        </m:r>
        <m:r>
          <m:t>t</m:t>
        </m:r>
        <m:r>
          <m:t>i</m:t>
        </m:r>
        <m:r>
          <m:t>n</m:t>
        </m:r>
        <m:r>
          <m:t>g</m:t>
        </m:r>
        <m:r>
          <m:t>f</m:t>
        </m:r>
        <m:r>
          <m:t>u</m:t>
        </m:r>
        <m:r>
          <m:t>n</m:t>
        </m:r>
        <m:r>
          <m:t>d</m:t>
        </m:r>
        <m:r>
          <m:t>a</m:t>
        </m:r>
        <m:r>
          <m:t>m</m:t>
        </m:r>
        <m:r>
          <m:t>e</m:t>
        </m:r>
        <m:r>
          <m:t>n</m:t>
        </m:r>
        <m:r>
          <m:t>t</m:t>
        </m:r>
        <m:r>
          <m:t>a</m:t>
        </m:r>
        <m:r>
          <m:t>l</m:t>
        </m:r>
        <m:r>
          <m:rPr>
            <m:sty m:val="p"/>
          </m:rPr>
          <m:t>−</m:t>
        </m:r>
        <m:r>
          <m:t>e</m:t>
        </m:r>
        <m:r>
          <m:t>q</m:t>
        </m:r>
        <m:r>
          <m:t>u</m:t>
        </m:r>
        <m:r>
          <m:t>i</m:t>
        </m:r>
        <m:r>
          <m:t>t</m:t>
        </m:r>
        <m:r>
          <m:t>y</m:t>
        </m:r>
        <m:r>
          <m:t>o</m:t>
        </m:r>
        <m:r>
          <m:t>u</m:t>
        </m:r>
        <m:r>
          <m:t>t</m:t>
        </m:r>
        <m:r>
          <m:t>f</m:t>
        </m:r>
        <m:r>
          <m:t>l</m:t>
        </m:r>
        <m:r>
          <m:t>o</m:t>
        </m:r>
        <m:r>
          <m:t>w</m:t>
        </m:r>
        <m:r>
          <m:t>s</m:t>
        </m:r>
        <m:r>
          <m:rPr>
            <m:sty m:val="p"/>
          </m:rPr>
          <m:t>(</m:t>
        </m:r>
        <m:r>
          <m:rPr>
            <m:sty m:val="p"/>
          </m:rPr>
          <m:t>–</m:t>
        </m:r>
      </m:oMath>
      <w:r>
        <w:t xml:space="preserve">2.4B, the smallest in ~9 years). Watch whether APAC (17% annualized) and EMEA (8%) momentum and institutional demand (5+ consecutive quarters &gt;5% organic) persist, and whether fundamental equities can approach flat.</w:t>
      </w:r>
    </w:p>
    <w:p>
      <w:pPr>
        <w:pStyle w:val="BodyText"/>
      </w:pPr>
      <w:r>
        <w:rPr>
          <w:b/>
          <w:bCs/>
        </w:rPr>
        <w:t xml:space="preserve">c) Margin trajectory &amp; the expense guide.</w:t>
      </w:r>
      <w:r>
        <w:t xml:space="preserve"> </w:t>
      </w:r>
      <w:r>
        <w:t xml:space="preserve">Management reiterated a path from mid-30s toward high-30s margins. Cross-check Q2 against the **</w:t>
      </w:r>
      <w:r>
        <w:t xml:space="preserve">$3.275B FY26 adjusted-opex framework**, comp as a % of net revenue (targeting ~mid-point of the 38–42% range), the hybrid-investment-platform implementation costs ($</w:t>
      </w:r>
      <w:r>
        <w:t xml:space="preserve">10–15M/quarter through 2026) and the promised</w:t>
      </w:r>
      <w:r>
        <w:t xml:space="preserve"> </w:t>
      </w:r>
      <w:r>
        <w:rPr>
          <w:b/>
          <w:bCs/>
        </w:rPr>
        <w:t xml:space="preserve">$60M+ of run-rate savings in 2027</w:t>
      </w:r>
      <w:r>
        <w:t xml:space="preserve">.</w:t>
      </w:r>
    </w:p>
    <w:p>
      <w:pPr>
        <w:pStyle w:val="BodyText"/>
      </w:pPr>
      <w:r>
        <w:rPr>
          <w:b/>
          <w:bCs/>
        </w:rPr>
        <w:t xml:space="preserve">d) Capital return &amp; balance sheet.</w:t>
      </w:r>
      <w:r>
        <w:t xml:space="preserve"> </w:t>
      </w:r>
      <w:r>
        <w:t xml:space="preserve">IVZ is targeting a</w:t>
      </w:r>
      <w:r>
        <w:t xml:space="preserve"> </w:t>
      </w:r>
      <w:r>
        <w:rPr>
          <w:b/>
          <w:bCs/>
        </w:rPr>
        <w:t xml:space="preserve">~60% total payout ratio for 2026</w:t>
      </w:r>
      <w:r>
        <w:t xml:space="preserve">. Watch for accelerating buybacks (only</w:t>
      </w:r>
      <w:r>
        <w:t xml:space="preserve"> </w:t>
      </w:r>
      <m:oMath>
        <m:r>
          <m:t>40</m:t>
        </m:r>
        <m:r>
          <m:t>M</m:t>
        </m:r>
        <m:r>
          <m:rPr>
            <m:sty m:val="p"/>
          </m:rPr>
          <m:t>/</m:t>
        </m:r>
        <m:r>
          <m:t>1.6</m:t>
        </m:r>
        <m:r>
          <m:t>M</m:t>
        </m:r>
        <m:r>
          <m:t>s</m:t>
        </m:r>
        <m:r>
          <m:t>h</m:t>
        </m:r>
        <m:r>
          <m:t>a</m:t>
        </m:r>
        <m:r>
          <m:t>r</m:t>
        </m:r>
        <m:r>
          <m:t>e</m:t>
        </m:r>
        <m:r>
          <m:t>s</m:t>
        </m:r>
        <m:r>
          <m:t>i</m:t>
        </m:r>
        <m:r>
          <m:t>n</m:t>
        </m:r>
        <m:r>
          <m:t>Q</m:t>
        </m:r>
        <m:r>
          <m:t>1</m:t>
        </m:r>
        <m:r>
          <m:rPr>
            <m:sty m:val="p"/>
          </m:rPr>
          <m:t>,</m:t>
        </m:r>
        <m:r>
          <m:t>b</m:t>
        </m:r>
        <m:r>
          <m:t>u</m:t>
        </m:r>
        <m:r>
          <m:t>t</m:t>
        </m:r>
        <m:r>
          <m:t>a</m:t>
        </m:r>
        <m:r>
          <m:t>f</m:t>
        </m:r>
        <m:r>
          <m:t>r</m:t>
        </m:r>
        <m:r>
          <m:t>e</m:t>
        </m:r>
        <m:r>
          <m:t>s</m:t>
        </m:r>
        <m:r>
          <m:t>h</m:t>
        </m:r>
        <m:r>
          <m:rPr>
            <m:sty m:val="p"/>
          </m:rPr>
          <m:t>*</m:t>
        </m:r>
        <m:r>
          <m:rPr>
            <m:sty m:val="p"/>
          </m:rPr>
          <m:t>*</m:t>
        </m:r>
      </m:oMath>
      <w:r>
        <w:t xml:space="preserve">1B authorization** was approved in February), the dividend (raised to</w:t>
      </w:r>
      <w:r>
        <w:t xml:space="preserve"> </w:t>
      </w:r>
      <m:oMath>
        <m:r>
          <m:t>0.215</m:t>
        </m:r>
        <m:r>
          <m:rPr>
            <m:sty m:val="p"/>
          </m:rPr>
          <m:t>)</m:t>
        </m:r>
        <m:r>
          <m:rPr>
            <m:sty m:val="p"/>
          </m:rPr>
          <m:t>,</m:t>
        </m:r>
        <m:r>
          <m:t>c</m:t>
        </m:r>
        <m:r>
          <m:t>o</m:t>
        </m:r>
        <m:r>
          <m:t>n</m:t>
        </m:r>
        <m:r>
          <m:t>t</m:t>
        </m:r>
        <m:r>
          <m:t>i</m:t>
        </m:r>
        <m:r>
          <m:t>n</m:t>
        </m:r>
        <m:r>
          <m:t>u</m:t>
        </m:r>
        <m:r>
          <m:t>e</m:t>
        </m:r>
        <m:r>
          <m:t>d</m:t>
        </m:r>
        <m:r>
          <m:t>p</m:t>
        </m:r>
        <m:r>
          <m:t>a</m:t>
        </m:r>
        <m:r>
          <m:t>y</m:t>
        </m:r>
        <m:r>
          <m:t>d</m:t>
        </m:r>
        <m:r>
          <m:t>o</m:t>
        </m:r>
        <m:r>
          <m:t>w</m:t>
        </m:r>
        <m:r>
          <m:t>n</m:t>
        </m:r>
        <m:r>
          <m:t>o</m:t>
        </m:r>
        <m:r>
          <m:t>f</m:t>
        </m:r>
        <m:r>
          <m:t>t</m:t>
        </m:r>
        <m:r>
          <m:t>h</m:t>
        </m:r>
        <m:r>
          <m:t>e</m:t>
        </m:r>
        <m:r>
          <m:t> </m:t>
        </m:r>
      </m:oMath>
      <w:r>
        <w:t xml:space="preserve">1.1B revolver balance, and any commentary on the remaining</w:t>
      </w:r>
      <w:r>
        <w:t xml:space="preserve"> </w:t>
      </w:r>
      <w:r>
        <w:rPr>
          <w:b/>
          <w:bCs/>
        </w:rPr>
        <w:t xml:space="preserve">~$3B of MassMutual preferred</w:t>
      </w:r>
      <w:r>
        <w:t xml:space="preserve"> </w:t>
      </w:r>
      <w:r>
        <w:t xml:space="preserve">(they've already retired $1.5B). Deleveraging + EBITDA growth should improve leverage ratios through the year.</w:t>
      </w:r>
    </w:p>
    <w:p>
      <w:pPr>
        <w:pStyle w:val="BodyText"/>
      </w:pPr>
      <w:r>
        <w:rPr>
          <w:b/>
          <w:bCs/>
        </w:rPr>
        <w:t xml:space="preserve">e) Portfolio actions.</w:t>
      </w:r>
      <w:r>
        <w:t xml:space="preserve"> </w:t>
      </w:r>
      <w:r>
        <w:t xml:space="preserve">The</w:t>
      </w:r>
      <w:r>
        <w:t xml:space="preserve"> </w:t>
      </w:r>
      <w:r>
        <w:rPr>
          <w:b/>
          <w:bCs/>
        </w:rPr>
        <w:t xml:space="preserve">CI Financial (Canada) partnership was set to close at end of Q2</w:t>
      </w:r>
      <w:r>
        <w:t xml:space="preserve">, transferring ~</w:t>
      </w:r>
      <m:oMath>
        <m:r>
          <m:t>19</m:t>
        </m:r>
        <m:r>
          <m:t>B</m:t>
        </m:r>
        <m:r>
          <m:t>A</m:t>
        </m:r>
        <m:r>
          <m:t>U</m:t>
        </m:r>
        <m:r>
          <m:t>M</m:t>
        </m:r>
        <m:r>
          <m:t>w</m:t>
        </m:r>
        <m:r>
          <m:t>i</m:t>
        </m:r>
        <m:r>
          <m:t>t</m:t>
        </m:r>
        <m:r>
          <m:t>h</m:t>
        </m:r>
        <m:r>
          <m:t>a</m:t>
        </m:r>
        <m:r>
          <m:t>m</m:t>
        </m:r>
        <m:r>
          <m:t>o</m:t>
        </m:r>
        <m:r>
          <m:t>d</m:t>
        </m:r>
        <m:r>
          <m:t>e</m:t>
        </m:r>
        <m:r>
          <m:t>s</m:t>
        </m:r>
        <m:r>
          <m:t>t</m:t>
        </m:r>
        <m:r>
          <m:t> </m:t>
        </m:r>
      </m:oMath>
      <w:r>
        <w:t xml:space="preserve">5–10M/quarter operating-income drag in H2 (already in guidance). Management signaled the pruning (intelliflo, India JV stake) is largely done — confirm no new surprises.</w:t>
      </w:r>
    </w:p>
    <w:p>
      <w:pPr>
        <w:pStyle w:val="BodyText"/>
      </w:pPr>
      <w:r>
        <w:rPr>
          <w:b/>
          <w:bCs/>
        </w:rPr>
        <w:t xml:space="preserve">f) Private markets &amp; partnerships.</w:t>
      </w:r>
      <w:r>
        <w:t xml:space="preserve"> </w:t>
      </w:r>
      <w:r>
        <w:t xml:space="preserve">Progress updates on the</w:t>
      </w:r>
      <w:r>
        <w:t xml:space="preserve"> </w:t>
      </w:r>
      <w:r>
        <w:rPr>
          <w:b/>
          <w:bCs/>
        </w:rPr>
        <w:t xml:space="preserve">Barings and LGT Capital</w:t>
      </w:r>
      <w:r>
        <w:t xml:space="preserve"> </w:t>
      </w:r>
      <w:r>
        <w:t xml:space="preserve">partnerships, INCREF (real-estate credit, ~$5B), the new DC-focused real estate CIT, and reassurance on private-credit quality (zero software/BDC exposure) are worth tracking as the higher-fee growth optionality.</w:t>
      </w:r>
    </w:p>
    <w:p>
      <w:r>
        <w:pict>
          <v:rect style="width:0;height:1.5pt" o:hralign="center" o:hrstd="t" o:hr="t"/>
        </w:pict>
      </w:r>
    </w:p>
    <w:bookmarkEnd w:id="14"/>
    <w:bookmarkStart w:id="15" w:name="X81c560be39c7a3c405fb23c910360b0231ca68e"/>
    <w:p>
      <w:pPr>
        <w:pStyle w:val="Heading2"/>
      </w:pPr>
      <w:r>
        <w:t xml:space="preserve">5. Stock setup into the print</w:t>
      </w:r>
    </w:p>
    <w:p>
      <w:pPr>
        <w:pStyle w:val="FirstParagraph"/>
      </w:pPr>
      <w:r>
        <w:t xml:space="preserve">IVZ is</w:t>
      </w:r>
      <w:r>
        <w:t xml:space="preserve"> </w:t>
      </w:r>
      <w:r>
        <w:rPr>
          <w:b/>
          <w:bCs/>
        </w:rPr>
        <w:t xml:space="preserve">~</w:t>
      </w:r>
      <m:oMath>
        <m:r>
          <m:t>30.1</m:t>
        </m:r>
        <m:r>
          <m:rPr>
            <m:sty m:val="p"/>
          </m:rPr>
          <m:t>(</m:t>
        </m:r>
        <m:r>
          <m:t>J</m:t>
        </m:r>
        <m:r>
          <m:t>u</m:t>
        </m:r>
        <m:r>
          <m:t>l</m:t>
        </m:r>
        <m:r>
          <m:t>27</m:t>
        </m:r>
        <m:r>
          <m:rPr>
            <m:sty m:val="p"/>
          </m:rPr>
          <m:t>)</m:t>
        </m:r>
        <m:r>
          <m:rPr>
            <m:sty m:val="p"/>
          </m:rPr>
          <m:t>,</m:t>
        </m:r>
        <m:r>
          <m:t>u</m:t>
        </m:r>
        <m:r>
          <m:t>p</m:t>
        </m:r>
        <m:r>
          <m:t> </m:t>
        </m:r>
        <m:r>
          <m:t>11.8</m:t>
        </m:r>
      </m:oMath>
      <w:r>
        <w:rPr>
          <w:b/>
          <w:bCs/>
        </w:rPr>
        <w:t xml:space="preserve">22.77)</w:t>
      </w:r>
      <w:r>
        <w:t xml:space="preserve"> </w:t>
      </w:r>
      <w:r>
        <w:t xml:space="preserve">— shares rallied sharply, including a jump in mid-July, and are pressing toward their YTD high right into the report. That means expectations have caught up somewhat. For context, IVZ has trailed Franklin (BEN, ~+40% YTD) but is broadly in line with T. Rowe (TROW, ~+14% YTD).</w:t>
      </w:r>
    </w:p>
    <w:p>
      <w:pPr>
        <w:pStyle w:val="BodyText"/>
      </w:pPr>
      <w:r>
        <w:rPr>
          <w:b/>
          <w:bCs/>
        </w:rPr>
        <w:t xml:space="preserve">Bottom line:</w:t>
      </w:r>
      <w:r>
        <w:t xml:space="preserve"> </w:t>
      </w:r>
      <w:r>
        <w:t xml:space="preserve">The quarter itself should look strong — record AUM, ~7% higher average AUM, a first full quarter of QQQ fees, and continued operating leverage all point to a clean sequential and YoY step-up. With the stock having already rerated, the swing factors are</w:t>
      </w:r>
      <w:r>
        <w:t xml:space="preserve"> </w:t>
      </w:r>
      <w:r>
        <w:rPr>
          <w:b/>
          <w:bCs/>
        </w:rPr>
        <w:t xml:space="preserve">(1) QQQ flow/fee resilience against new competition, (2) confirmation that organic growth and margins are still inflecting higher, and (3) capital-return cadence.</w:t>
      </w:r>
      <w:r>
        <w:t xml:space="preserve"> </w:t>
      </w:r>
      <w:r>
        <w:t xml:space="preserve">A reassuring message on QQQ plus visible margin progress toward the high-30s is what bulls need; any sign of QQQ flow leakage or fee pressure is the primary downside risk.</w:t>
      </w:r>
    </w:p>
    <w:p>
      <w:pPr>
        <w:pStyle w:val="BodyText"/>
      </w:pPr>
      <w:r>
        <w:rPr>
          <w:i/>
          <w:iCs/>
        </w:rPr>
        <w:t xml:space="preserve">Note: I was unable to retrieve published sell-side consensus for the quarter, so the EPS/revenue figures above are my own model-based estimates and should be calibrated against the Street number you have.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2026-07-28T00:37:04Z</dcterms:created>
  <dcterms:modified xsi:type="dcterms:W3CDTF">2026-07-28T00:37:04Z</dcterms:modified>
</cp:coreProperties>
</file>

<file path=docProps/custom.xml><?xml version="1.0" encoding="utf-8"?>
<Properties xmlns="http://schemas.openxmlformats.org/officeDocument/2006/custom-properties" xmlns:vt="http://schemas.openxmlformats.org/officeDocument/2006/docPropsVTypes"/>
</file>