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vz-earnings-predictions--2026-07-28"/>
    <w:p>
      <w:pPr>
        <w:pStyle w:val="Heading1"/>
      </w:pPr>
      <w:r>
        <w:t xml:space="preserve">IVZ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long-term organic inflows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~$36B vs. cons $27B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yield (bps)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~22.5bps vs. cons 22.8bps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expense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~$3.35B vs. cons $3.29B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payout ratio (dividends+buybacks)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~60% vs. cons ~57%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 yield trajectory (2H26 outlook)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~22.5bps vs. cons 22.8bps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(FADE)</w:t>
            </w:r>
          </w:p>
        </w:tc>
        <w:tc>
          <w:tcPr/>
          <w:p>
            <w:pPr>
              <w:pStyle w:val="Compact"/>
            </w:pPr>
            <w:r>
              <w:t xml:space="preserve">Stock rallied ~16% in the month into the print and sits near its average sell-side target with beat-odds already priced in (Zacks flagged elevated beat probability); the mechanical QQQ AUM step-up means headline EPS/revenue growth surprises little on a like-for-like basis, while net revenue yield continues to erode on ETF/China mix shift and the FY26 expense guide likely creeps up from $3.275B given higher AUM-linked comp — none of which meaningfully raises out-year (2027) estimate revisions. With valuation already stretched after an ~86% 12-month run, the setup favors profit-taking/de-rating over the following days rather than continued follow-through, even if the print itself is a modest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2026-07-28T00:37:56Z</dcterms:created>
  <dcterms:modified xsi:type="dcterms:W3CDTF">2026-07-28T00:37:56Z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