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4" w:name="invesco-ivz-q2-2026-earnings-preview"/>
    <w:p>
      <w:pPr>
        <w:pStyle w:val="Heading1"/>
      </w:pPr>
      <w:r>
        <w:t xml:space="preserve">Invesco (IVZ) Q2 2026 Earnings Preview</w:t>
      </w:r>
    </w:p>
    <w:p>
      <w:pPr>
        <w:pStyle w:val="FirstParagraph"/>
      </w:pPr>
      <w:r>
        <w:rPr>
          <w:b/>
          <w:bCs/>
        </w:rPr>
        <w:t xml:space="preserve">Reports: Tuesday, July 28, 2026, before market open | Call: 9:00 a.m. ET</w:t>
      </w:r>
    </w:p>
    <w:bookmarkStart w:id="9" w:name="setup"/>
    <w:p>
      <w:pPr>
        <w:pStyle w:val="Heading2"/>
      </w:pPr>
      <w:r>
        <w:t xml:space="preserve">Setup</w:t>
      </w:r>
    </w:p>
    <w:p>
      <w:pPr>
        <w:pStyle w:val="FirstParagraph"/>
      </w:pPr>
      <w:r>
        <w:t xml:space="preserve">Invesco heads into Wednesday's print with the stock near 52-week highs — shares closed at</w:t>
      </w:r>
      <w:r>
        <w:t xml:space="preserve"> </w:t>
      </w:r>
      <w:r>
        <w:rPr>
          <w:b/>
          <w:bCs/>
        </w:rPr>
        <w:t xml:space="preserve">$30.12 on July 27</w:t>
      </w:r>
      <w:r>
        <w:t xml:space="preserve">, up roughly 12% year-to-date and up nearly 17% since the Q1 report on April 28. Sentiment has clearly improved through the quarter: sell-side price targets have been marching higher (Barclays to $31, Evercore ISI to $32, TD Cowen to $33, Morgan Stanley to $29, Goldman Sachs to $30, J.P. Morgan to $27.50), and the stock is heading into earnings with an average analyst price target of $31.58 (compared to the current share price of $29.93) as of the most recent read. Consensus still skews "Hold"-heavy (roughly 10 Holds vs. a handful of Buys among the sell-side), but estimates have been revised up, not down, into the print — Zacks' consensus of $0.67 has been unchanged over the past week, and its model flags elevated odds of a beat.</w:t>
      </w:r>
    </w:p>
    <w:p>
      <w:pPr>
        <w:pStyle w:val="BodyText"/>
      </w:pPr>
      <w:r>
        <w:t xml:space="preserve">The headline growth rates this quarter will look extraordinary, but investors need context: Invesco converted its flagship</w:t>
      </w:r>
      <w:r>
        <w:t xml:space="preserve"> </w:t>
      </w:r>
      <w:r>
        <w:rPr>
          <w:b/>
          <w:bCs/>
        </w:rPr>
        <w:t xml:space="preserve">QQQ</w:t>
      </w:r>
      <w:r>
        <w:t xml:space="preserve"> </w:t>
      </w:r>
      <w:r>
        <w:t xml:space="preserve">fund from a Unit Investment Trust to an open-end ETF on</w:t>
      </w:r>
      <w:r>
        <w:t xml:space="preserve"> </w:t>
      </w:r>
      <w:r>
        <w:rPr>
          <w:b/>
          <w:bCs/>
        </w:rPr>
        <w:t xml:space="preserve">December 20, 2025</w:t>
      </w:r>
      <w:r>
        <w:t xml:space="preserve">, which moved roughly $370–500 billion of AUM onto the fee-earning books for the first time. That mechanical step-change inflates year-over-year comparisons (consensus revenue growth of ~20.6% and EPS growth of 69–86% YoY) versus a 2Q25 base that didn't include QQQ management fees. The real story to watch is organic growth, net revenue yield trajectory, and expense discipline underneath that noise.</w:t>
      </w:r>
    </w:p>
    <w:bookmarkEnd w:id="9"/>
    <w:bookmarkStart w:id="10" w:name="X43f581287c71239ee9fce078a29113ae2830b52"/>
    <w:p>
      <w:pPr>
        <w:pStyle w:val="Heading2"/>
      </w:pPr>
      <w:r>
        <w:t xml:space="preserve">Q1 recap — the base investors are building from</w:t>
      </w:r>
    </w:p>
    <w:p>
      <w:pPr>
        <w:pStyle w:val="FirstParagraph"/>
      </w:pPr>
      <w:r>
        <w:t xml:space="preserve">Invesco's first quarter showed continued organic momentum despite a volatile market backdrop: Net long-term inflows were $21.8 billion, marking the 11th straight quarter of net inflows and representing annualized organic growth of 4%. Growth was broad-based — the Asia Pacific and EMEA regions again produced very strong net inflows with 17% and 8% annualized organic growth, respectively, while institutional demand has remained strong with our fifth consecutive quarter of annualized organic growth in excess of 5%. Financially, adjusted diluted earnings per share was $0.57 for the first quarter versus $0.44 for the same quarter last year, a 30% improvement, with 500 basis points of positive operating leverage and a 300 basis point operating margin improvement year-over-year with operating margin improving to 34.5%.</w:t>
      </w:r>
    </w:p>
    <w:p>
      <w:pPr>
        <w:pStyle w:val="BodyText"/>
      </w:pPr>
      <w:r>
        <w:t xml:space="preserve">Management's full-year 2026 expense guidance, given last quarter, is the key anchor for modeling: we expect operating expenses for 2026 to be in the $3.275 billion range, under flat markets from the higher April AUM level that we indicated is in the $2.3 trillion range. Watch whether management reiterates or updates this given the subsequent AUM run-up.</w:t>
      </w:r>
    </w:p>
    <w:bookmarkEnd w:id="10"/>
    <w:bookmarkStart w:id="11" w:name="Xc39294c073e2a746bf231556f91bc4580338a11"/>
    <w:p>
      <w:pPr>
        <w:pStyle w:val="Heading2"/>
      </w:pPr>
      <w:r>
        <w:t xml:space="preserve">What's changed since Q1 — the AUM tailwind is real</w:t>
      </w:r>
    </w:p>
    <w:p>
      <w:pPr>
        <w:pStyle w:val="FirstParagraph"/>
      </w:pPr>
      <w:r>
        <w:t xml:space="preserve">Invesco's monthly AUM disclosures show a powerful sequential build through the quarter: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Month-end</w:t>
            </w:r>
          </w:p>
        </w:tc>
        <w:tc>
          <w:tcPr/>
          <w:p>
            <w:pPr>
              <w:pStyle w:val="Compact"/>
            </w:pPr>
            <w:r>
              <w:t xml:space="preserve">Total AUM</w:t>
            </w:r>
          </w:p>
        </w:tc>
        <w:tc>
          <w:tcPr/>
          <w:p>
            <w:pPr>
              <w:pStyle w:val="Compact"/>
            </w:pPr>
            <w:r>
              <w:t xml:space="preserve">MoM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March 31, 2026</w:t>
            </w:r>
          </w:p>
        </w:tc>
        <w:tc>
          <w:tcPr/>
          <w:p>
            <w:pPr>
              <w:pStyle w:val="Compact"/>
            </w:pPr>
            <w:r>
              <w:t xml:space="preserve">$2,159.5B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April 30, 2026</w:t>
            </w:r>
          </w:p>
        </w:tc>
        <w:tc>
          <w:tcPr/>
          <w:p>
            <w:pPr>
              <w:pStyle w:val="Compact"/>
            </w:pPr>
            <w:r>
              <w:t xml:space="preserve">$2,339.4B</w:t>
            </w:r>
          </w:p>
        </w:tc>
        <w:tc>
          <w:tcPr/>
          <w:p>
            <w:pPr>
              <w:pStyle w:val="Compact"/>
            </w:pPr>
            <w:r>
              <w:t xml:space="preserve">+8.3%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May 31, 2026</w:t>
            </w:r>
          </w:p>
        </w:tc>
        <w:tc>
          <w:tcPr/>
          <w:p>
            <w:pPr>
              <w:pStyle w:val="Compact"/>
            </w:pPr>
            <w:r>
              <w:t xml:space="preserve">$2,453.9B</w:t>
            </w:r>
          </w:p>
        </w:tc>
        <w:tc>
          <w:tcPr/>
          <w:p>
            <w:pPr>
              <w:pStyle w:val="Compact"/>
            </w:pPr>
            <w:r>
              <w:t xml:space="preserve">+4.9%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June 30, 2026</w:t>
            </w:r>
          </w:p>
        </w:tc>
        <w:tc>
          <w:tcPr/>
          <w:p>
            <w:pPr>
              <w:pStyle w:val="Compact"/>
            </w:pPr>
            <w:r>
              <w:t xml:space="preserve">$2,470.3B</w:t>
            </w:r>
          </w:p>
        </w:tc>
        <w:tc>
          <w:tcPr/>
          <w:p>
            <w:pPr>
              <w:pStyle w:val="Compact"/>
            </w:pPr>
            <w:r>
              <w:t xml:space="preserve">+0.7%</w:t>
            </w:r>
          </w:p>
        </w:tc>
      </w:tr>
    </w:tbl>
    <w:p>
      <w:pPr>
        <w:pStyle w:val="BodyText"/>
      </w:pPr>
      <w:r>
        <w:t xml:space="preserve">By June, Invesco reported preliminary month-end assets under management (AUM) of $2,470.3 billion, an increase of 0.7% versus previous month-end, with net long-term inflows of $8.0 billion in the month and preliminary average total AUM for the quarter through June 30 was $2,368.8 billion. That's up roughly 7% sequentially from Q1's average AUM of $2,218.9 billion — a strong tailwind for management fee revenue, and it followed an April in which the firm delivered net long-term inflows of</w:t>
      </w:r>
      <w:r>
        <w:t xml:space="preserve"> </w:t>
      </w:r>
      <m:oMath>
        <m:r>
          <m:t>18.2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m</m:t>
        </m:r>
        <m:r>
          <m:t>o</m:t>
        </m:r>
        <m:r>
          <m:t>n</m:t>
        </m:r>
        <m:r>
          <m:t>t</m:t>
        </m:r>
        <m:r>
          <m:t>h</m:t>
        </m:r>
        <m:r>
          <m:t>a</m:t>
        </m:r>
        <m:r>
          <m:t>s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t</m:t>
        </m:r>
        <m:r>
          <m:t>s</m:t>
        </m:r>
        <m:r>
          <m:t>r</m:t>
        </m:r>
        <m:r>
          <m:t>e</m:t>
        </m:r>
        <m:r>
          <m:t>c</m:t>
        </m:r>
        <m:r>
          <m:t>o</m:t>
        </m:r>
        <m:r>
          <m:t>v</m:t>
        </m:r>
        <m:r>
          <m:t>e</m:t>
        </m:r>
        <m:r>
          <m:t>r</m:t>
        </m:r>
        <m:r>
          <m:t>e</m:t>
        </m:r>
        <m:r>
          <m:t>d</m:t>
        </m:r>
        <m:r>
          <m:t>s</m:t>
        </m:r>
        <m:r>
          <m:t>h</m:t>
        </m:r>
        <m:r>
          <m:t>a</m:t>
        </m:r>
        <m:r>
          <m:t>r</m:t>
        </m:r>
        <m:r>
          <m:t>p</m:t>
        </m:r>
        <m:r>
          <m:t>l</m:t>
        </m:r>
        <m:r>
          <m:t>y</m:t>
        </m:r>
        <m:r>
          <m:t>f</m:t>
        </m:r>
        <m:r>
          <m:t>r</m:t>
        </m:r>
        <m:r>
          <m:t>o</m:t>
        </m:r>
        <m:r>
          <m:t>m</m:t>
        </m:r>
        <m:r>
          <m:t>t</m:t>
        </m:r>
        <m:r>
          <m:t>h</m:t>
        </m:r>
        <m:r>
          <m:t>e</m:t>
        </m:r>
        <m:r>
          <m:t>Q</m:t>
        </m:r>
        <m:r>
          <m:t>1</m:t>
        </m:r>
        <m:r>
          <m:t>v</m:t>
        </m:r>
        <m:r>
          <m:t>o</m:t>
        </m:r>
        <m:r>
          <m:t>l</m:t>
        </m:r>
        <m:r>
          <m:t>a</m:t>
        </m:r>
        <m:r>
          <m:t>t</m:t>
        </m:r>
        <m:r>
          <m:t>i</m:t>
        </m:r>
        <m:r>
          <m:t>l</m:t>
        </m:r>
        <m:r>
          <m:t>i</m:t>
        </m:r>
        <m:r>
          <m:t>t</m:t>
        </m:r>
        <m:r>
          <m:t>y</m:t>
        </m:r>
        <m:r>
          <m:rPr>
            <m:sty m:val="p"/>
          </m:rPr>
          <m:t>.</m:t>
        </m:r>
        <m:r>
          <m:t>N</m:t>
        </m:r>
        <m:r>
          <m:t>e</m:t>
        </m:r>
        <m:r>
          <m:t>t</m:t>
        </m:r>
        <m:r>
          <m:rPr>
            <m:sty m:val="p"/>
          </m:rPr>
          <m:t>−</m:t>
        </m:r>
        <m:r>
          <m:t>n</m:t>
        </m:r>
        <m:r>
          <m:t>e</m:t>
        </m:r>
        <m:r>
          <m:t>t</m:t>
        </m:r>
        <m:r>
          <m:rPr>
            <m:sty m:val="p"/>
          </m:rPr>
          <m:t>,</m:t>
        </m:r>
        <m:r>
          <m:t>t</m:t>
        </m:r>
        <m:r>
          <m:t>h</m:t>
        </m:r>
        <m:r>
          <m:t>i</m:t>
        </m:r>
        <m:r>
          <m:t>s</m:t>
        </m:r>
        <m:r>
          <m:t>s</m:t>
        </m:r>
        <m:r>
          <m:t>h</m:t>
        </m:r>
        <m:r>
          <m:t>o</m:t>
        </m:r>
        <m:r>
          <m:t>u</m:t>
        </m:r>
        <m:r>
          <m:t>l</m:t>
        </m:r>
        <m:r>
          <m:t>d</m:t>
        </m:r>
        <m:r>
          <m:t>b</m:t>
        </m:r>
        <m:r>
          <m:t>e</m:t>
        </m:r>
        <m:r>
          <m:t>a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o</m:t>
        </m:r>
        <m:r>
          <m:t>f</m:t>
        </m:r>
        <m:r>
          <m:t>s</m:t>
        </m:r>
        <m:r>
          <m:t>o</m:t>
        </m:r>
        <m:r>
          <m:t>l</m:t>
        </m:r>
        <m:r>
          <m:t>i</m:t>
        </m:r>
        <m:r>
          <m:t>d</m:t>
        </m:r>
        <m:r>
          <m:t>n</m:t>
        </m:r>
        <m:r>
          <m:t>e</m:t>
        </m:r>
        <m:r>
          <m:t>t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g</m:t>
        </m:r>
        <m:r>
          <m:t>r</m:t>
        </m:r>
        <m:r>
          <m:t>o</m:t>
        </m:r>
        <m:r>
          <m:t>w</m:t>
        </m:r>
        <m:r>
          <m:t>t</m:t>
        </m:r>
        <m:r>
          <m:t>h</m:t>
        </m:r>
        <m:r>
          <m:t>a</m:t>
        </m:r>
        <m:r>
          <m:t>n</m:t>
        </m:r>
        <m:r>
          <m:t>d</m:t>
        </m:r>
        <m:r>
          <m:rPr>
            <m:sty m:val="p"/>
          </m:rPr>
          <m:t>,</m:t>
        </m:r>
        <m:r>
          <m:t>a</m:t>
        </m:r>
        <m:r>
          <m:t>l</m:t>
        </m:r>
        <m:r>
          <m:t>l</m:t>
        </m:r>
        <m:r>
          <m:t>e</m:t>
        </m:r>
        <m:r>
          <m:t>l</m:t>
        </m:r>
        <m:r>
          <m:t>s</m:t>
        </m:r>
        <m:r>
          <m:t>e</m:t>
        </m:r>
        <m:r>
          <m:t>e</m:t>
        </m:r>
        <m:r>
          <m:t>q</m:t>
        </m:r>
        <m:r>
          <m:t>u</m:t>
        </m:r>
        <m:r>
          <m:t>a</m:t>
        </m:r>
        <m:r>
          <m:t>l</m:t>
        </m:r>
        <m:r>
          <m:rPr>
            <m:sty m:val="p"/>
          </m:rPr>
          <m:t>,</m:t>
        </m:r>
        <m:r>
          <m:t>a</m:t>
        </m:r>
        <m:r>
          <m:t>n</m:t>
        </m:r>
        <m:r>
          <m:t>o</m:t>
        </m:r>
        <m:r>
          <m:t>t</m:t>
        </m:r>
        <m:r>
          <m:t>h</m:t>
        </m:r>
        <m:r>
          <m:t>e</m:t>
        </m:r>
        <m:r>
          <m:t>r</m:t>
        </m:r>
        <m:r>
          <m:t>s</m:t>
        </m:r>
        <m:r>
          <m:t>t</m:t>
        </m:r>
        <m:r>
          <m:t>e</m:t>
        </m:r>
        <m:r>
          <m:t>p</m:t>
        </m:r>
        <m:r>
          <m:t>u</m:t>
        </m:r>
        <m:r>
          <m:t>p</m:t>
        </m:r>
        <m:r>
          <m:t>i</m:t>
        </m:r>
        <m:r>
          <m:t>n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rPr>
            <m:sty m:val="p"/>
          </m:rPr>
          <m:t>—</m:t>
        </m:r>
        <m:r>
          <m:t>c</m:t>
        </m:r>
        <m:r>
          <m:t>o</m:t>
        </m:r>
        <m:r>
          <m:t>n</m:t>
        </m:r>
        <m:r>
          <m:t>s</m:t>
        </m:r>
        <m:r>
          <m:t>i</m:t>
        </m:r>
        <m:r>
          <m:t>s</m:t>
        </m:r>
        <m:r>
          <m:t>t</m:t>
        </m:r>
        <m:r>
          <m:t>e</m:t>
        </m:r>
        <m:r>
          <m:t>n</m:t>
        </m:r>
        <m:r>
          <m:t>t</m:t>
        </m:r>
        <m:r>
          <m:t>w</m:t>
        </m:r>
        <m:r>
          <m:t>i</m:t>
        </m:r>
        <m:r>
          <m:t>t</m:t>
        </m:r>
        <m:r>
          <m:t>h</m:t>
        </m:r>
        <m:r>
          <m:t>t</m:t>
        </m:r>
        <m:r>
          <m:t>h</m:t>
        </m:r>
        <m:r>
          <m:t>e</m:t>
        </m:r>
        <m:r>
          <m:t> </m:t>
        </m:r>
      </m:oMath>
      <w:r>
        <w:t xml:space="preserve">0.61–$0.67 consensus range analysts are modeling.</w:t>
      </w:r>
    </w:p>
    <w:bookmarkEnd w:id="11"/>
    <w:bookmarkStart w:id="12" w:name="key-things-to-watch-on-the-call"/>
    <w:p>
      <w:pPr>
        <w:pStyle w:val="Heading2"/>
      </w:pPr>
      <w:r>
        <w:t xml:space="preserve">Key things to watch on the call</w:t>
      </w:r>
    </w:p>
    <w:p>
      <w:pPr>
        <w:pStyle w:val="FirstParagraph"/>
      </w:pPr>
      <w:r>
        <w:rPr>
          <w:b/>
          <w:bCs/>
        </w:rPr>
        <w:t xml:space="preserve">1. Net revenue yield trajectory.</w:t>
      </w:r>
      <w:r>
        <w:t xml:space="preserve"> </w:t>
      </w:r>
      <w:r>
        <w:t xml:space="preserve">Q1's net revenue yield was 22.9 bps with an exit rate of 22.8 bps, and management flagged this as approaching stabilization after several years of mix-shift-driven decline. With QQQ, ETFs, and China (all lower-fee) continuing to outgrow higher-fee fundamental equities, watch whether the yield held steady, ticked up, or resumed its decline given June's outsized inflow mix.</w:t>
      </w:r>
    </w:p>
    <w:p>
      <w:pPr>
        <w:pStyle w:val="BodyText"/>
      </w:pPr>
      <w:r>
        <w:rPr>
          <w:b/>
          <w:bCs/>
        </w:rPr>
        <w:t xml:space="preserve">2. Expense trajectory and the hybrid platform.</w:t>
      </w:r>
      <w:r>
        <w:t xml:space="preserve"> </w:t>
      </w:r>
      <w:r>
        <w:t xml:space="preserve">Management guided to $10–15 million of quarterly hybrid investment platform implementation costs through 2026, building toward $10 million/quarter of incremental run-rate operating cost by year-end, with Management expects one-time implementation costs of Alpha to be</w:t>
      </w:r>
      <w:r>
        <w:t xml:space="preserve"> </w:t>
      </w:r>
      <m:oMath>
        <m:r>
          <m:t>10</m:t>
        </m:r>
        <m:r>
          <m:rPr>
            <m:sty m:val="p"/>
          </m:rPr>
          <m:t>−</m:t>
        </m:r>
      </m:oMath>
      <w:r>
        <w:t xml:space="preserve">15 million continuing to weigh on the quarter, offset by an expected</w:t>
      </w:r>
      <w:r>
        <w:t xml:space="preserve"> </w:t>
      </w:r>
      <w:r>
        <w:rPr>
          <w:b/>
          <w:bCs/>
        </w:rPr>
        <w:t xml:space="preserve">$60 million-plus</w:t>
      </w:r>
      <w:r>
        <w:t xml:space="preserve"> </w:t>
      </w:r>
      <w:r>
        <w:t xml:space="preserve">of annualized savings once implementation completes in 2027. Comp-to-revenue guidance was for the "midpoint" of a 38–42% range for the full year, with normal seasonality unwinding from Q1.</w:t>
      </w:r>
    </w:p>
    <w:p>
      <w:pPr>
        <w:pStyle w:val="BodyText"/>
      </w:pPr>
      <w:r>
        <w:rPr>
          <w:b/>
          <w:bCs/>
        </w:rPr>
        <w:t xml:space="preserve">3. QQQ competitive dynamics.</w:t>
      </w:r>
      <w:r>
        <w:t xml:space="preserve"> </w:t>
      </w:r>
      <w:r>
        <w:t xml:space="preserve">This remains the single biggest debated topic on the stock. Nasdaq has expanded licensing to allow two additional US-listed ETFs to track the Nasdaq-100, and management pushed back hard on the threat last quarter, arguing that switching costs, tax lock-in, liquidity/spread advantages, and 25 years of brand equity make QQQ's ~$700B-plus ecosystem hard to displace, while noting the new entrants will pay the same 8bp licensing fee. Any incremental commentary on competitor asset-gathering, QQQ flows (which turned negative in Q1 before rebounding in April), or fee actions will move the stock.</w:t>
      </w:r>
    </w:p>
    <w:p>
      <w:pPr>
        <w:pStyle w:val="BodyText"/>
      </w:pPr>
      <w:r>
        <w:rPr>
          <w:b/>
          <w:bCs/>
        </w:rPr>
        <w:t xml:space="preserve">4. Capital return and balance sheet.</w:t>
      </w:r>
      <w:r>
        <w:t xml:space="preserve"> </w:t>
      </w:r>
      <w:r>
        <w:t xml:space="preserve">Invesco is targeting a</w:t>
      </w:r>
      <w:r>
        <w:t xml:space="preserve"> </w:t>
      </w:r>
      <w:r>
        <w:rPr>
          <w:b/>
          <w:bCs/>
        </w:rPr>
        <w:t xml:space="preserve">~60% total payout ratio</w:t>
      </w:r>
      <w:r>
        <w:t xml:space="preserve"> </w:t>
      </w:r>
      <w:r>
        <w:t xml:space="preserve">for 2026 (dividends + buybacks), increased its quarterly common dividend to $0.215/share, and has a fresh $1 billion buyback authorization from February. With $1.1 billion drawn on the revolver as of Q1-end, watch for progress paying that down as leverage ratios improve alongside EBITDA growth.</w:t>
      </w:r>
    </w:p>
    <w:p>
      <w:pPr>
        <w:pStyle w:val="BodyText"/>
      </w:pPr>
      <w:r>
        <w:rPr>
          <w:b/>
          <w:bCs/>
        </w:rPr>
        <w:t xml:space="preserve">5. Canada divestiture and portfolio simplification.</w:t>
      </w:r>
      <w:r>
        <w:t xml:space="preserve"> </w:t>
      </w:r>
      <w:r>
        <w:t xml:space="preserve">The CI Financial sub-advisory transition (~C</w:t>
      </w:r>
      <m:oMath>
        <m:r>
          <m:t>27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/</m:t>
        </m:r>
        <m:r>
          <m:t>U</m:t>
        </m:r>
        <m:r>
          <m:t>S</m:t>
        </m:r>
      </m:oMath>
      <w:r>
        <w:t xml:space="preserve">19 billion of AUM) officially closed on</w:t>
      </w:r>
      <w:r>
        <w:t xml:space="preserve"> </w:t>
      </w:r>
      <w:r>
        <w:rPr>
          <w:b/>
          <w:bCs/>
        </w:rPr>
        <w:t xml:space="preserve">June 1, 2026</w:t>
      </w:r>
      <w:r>
        <w:t xml:space="preserve"> </w:t>
      </w:r>
      <w:r>
        <w:t xml:space="preserve">— earlier than the "end of second quarter" guidance given in April — meaning Invesco affiliates now sub-advise 61 funds (~C</w:t>
      </w:r>
      <m:oMath>
        <m:r>
          <m:t>13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)</m:t>
        </m:r>
        <m:r>
          <m:t>f</m:t>
        </m:r>
        <m:r>
          <m:t>o</m:t>
        </m:r>
        <m:r>
          <m:t>r</m:t>
        </m:r>
        <m:r>
          <m:t>C</m:t>
        </m:r>
        <m:r>
          <m:t>I</m:t>
        </m:r>
        <m:r>
          <m:t>G</m:t>
        </m:r>
        <m:r>
          <m:t>A</m:t>
        </m:r>
        <m:r>
          <m:t>M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p</m:t>
        </m:r>
        <m:r>
          <m:t>r</m:t>
        </m:r>
        <m:r>
          <m:t>e</m:t>
        </m:r>
        <m:r>
          <m:t>v</m:t>
        </m:r>
        <m:r>
          <m:t>i</m:t>
        </m:r>
        <m:r>
          <m:t>o</m:t>
        </m:r>
        <m:r>
          <m:t>u</m:t>
        </m:r>
        <m:r>
          <m:t>s</m:t>
        </m:r>
        <m:r>
          <m:t>l</m:t>
        </m:r>
        <m:r>
          <m:t>y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t>d</m:t>
        </m:r>
        <m:r>
          <m:t>t</m:t>
        </m:r>
        <m:r>
          <m:t>o</m:t>
        </m:r>
        <m:r>
          <m:t>a</m:t>
        </m:r>
        <m:r>
          <m:t>m</m:t>
        </m:r>
        <m:r>
          <m:t>o</m:t>
        </m:r>
        <m:r>
          <m:t>d</m:t>
        </m:r>
        <m:r>
          <m:t>e</m:t>
        </m:r>
        <m:r>
          <m:t>s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5–10 million/quarter negative operating income impact in Q3/Q4** as this transitions to a sub-advisory fee model; confirm this is on track and check for any Q2 AUM/flow noise from the June 1 close.</w:t>
      </w:r>
    </w:p>
    <w:p>
      <w:pPr>
        <w:pStyle w:val="BodyText"/>
      </w:pPr>
      <w:r>
        <w:rPr>
          <w:b/>
          <w:bCs/>
        </w:rPr>
        <w:t xml:space="preserve">6. China JV and private markets.</w:t>
      </w:r>
      <w:r>
        <w:t xml:space="preserve"> </w:t>
      </w:r>
      <w:r>
        <w:t xml:space="preserve">China Great Wall JV AUM hit a record $141.9 billion at Q1-end with 31% annualized organic growth; given continued strength in China equities and fixed-income-plus flows through Q2, this segment could again be a standout. On private markets, watch for updates on the Barings and LGT Capital partnerships and continued INCREF (real estate debt) scaling, which reached $5 billion in AUM after roughly two years in market.</w:t>
      </w:r>
    </w:p>
    <w:p>
      <w:pPr>
        <w:pStyle w:val="BodyText"/>
      </w:pPr>
      <w:r>
        <w:rPr>
          <w:b/>
          <w:bCs/>
        </w:rPr>
        <w:t xml:space="preserve">7. Peer read-through.</w:t>
      </w:r>
      <w:r>
        <w:t xml:space="preserve"> </w:t>
      </w:r>
      <w:r>
        <w:t xml:space="preserve">Early Q2 reports from adjacent financials names have been mixed-to-strong: BNY and State Street both beat revenue estimates (up 13.3% and 16.7% YoY respectively) and the custody bank/asset servicer group has rallied ~5% over the past month, a generally supportive backdrop for the sector heading into IVZ's print.</w:t>
      </w:r>
    </w:p>
    <w:bookmarkEnd w:id="12"/>
    <w:bookmarkStart w:id="1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setup into this print is constructive: AUM has grown roughly 14% sequentially since quarter-end March, markets have been broadly cooperative, and consensus numbers have been revised upward rather than trimmed. The bar, however, has also risen — the stock is up double digits since Q1 earnings and trades close to its average analyst price target, so a "good enough" quarter may not be sufficient to drive further re-rating. Investors should focus less on the eye-catching (QQQ-distorted) headline growth rates and more on: (1) whether net revenue yield has stabilized or continued to erode, (2) expense discipline versus the $3.275 billion full-year guide, (3) the tone on QQQ competitive dynamics, and (4) continued progress on capital return and balance sheet deleveraging.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2026-07-28T00:37:56Z</dcterms:created>
  <dcterms:modified xsi:type="dcterms:W3CDTF">2026-07-28T00:37:56Z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