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vz-earnings-predictions--2026-07-28"/>
    <w:p>
      <w:pPr>
        <w:pStyle w:val="Heading1"/>
      </w:pPr>
      <w:r>
        <w:t xml:space="preserve">IVZ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~$0.69 vs. cons $0.67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~$1.34B vs. cons $1.314B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~38.7% vs. cons 38.0%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~$3.30B vs. cons $3.32B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~39.0% vs. cons 38.5%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Hybrid-platform cost savings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~$60M vs. cons $60M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IVZ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+3.8% (FOLLOW-THROUGH)</w:t>
            </w:r>
          </w:p>
        </w:tc>
        <w:tc>
          <w:tcPr/>
          <w:p>
            <w:pPr>
              <w:pStyle w:val="Compact"/>
            </w:pPr>
            <w:r>
              <w:t xml:space="preserve">FY2026 expense guidance of ~$3.30B vs. consensus $3.32B and Q3 margin commentary of ~39.0% vs. consensus 38.5% should lift out-period EPS estimates, allowing the day-1 residual of ~2.8% to extend to ~3.8%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2026-07-28T00:36:56Z</dcterms:created>
  <dcterms:modified xsi:type="dcterms:W3CDTF">2026-07-28T00:36:56Z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