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3" w:name="invesco-ivz-q2-2026-earnings-preview"/>
    <w:p>
      <w:pPr>
        <w:pStyle w:val="Heading1"/>
      </w:pPr>
      <w:r>
        <w:t xml:space="preserve">Invesco (IVZ) Q2 2026 Earnings Preview</w:t>
      </w:r>
    </w:p>
    <w:p>
      <w:pPr>
        <w:pStyle w:val="BlockText"/>
      </w:pPr>
      <w:r>
        <w:rPr>
          <w:b/>
          <w:bCs/>
        </w:rPr>
        <w:t xml:space="preserve">Timing clarification:</w:t>
      </w:r>
      <w:r>
        <w:t xml:space="preserve"> </w:t>
      </w:r>
      <w:r>
        <w:t xml:space="preserve">Invesco is scheduled to report</w:t>
      </w:r>
      <w:r>
        <w:t xml:space="preserve"> </w:t>
      </w:r>
      <w:r>
        <w:rPr>
          <w:b/>
          <w:bCs/>
        </w:rPr>
        <w:t xml:space="preserve">today, Tuesday, July 28, 2026</w:t>
      </w:r>
      <w:r>
        <w:t xml:space="preserve">, rather than tomorrow. The company plans to publish results at approximately</w:t>
      </w:r>
      <w:r>
        <w:t xml:space="preserve"> </w:t>
      </w:r>
      <w:r>
        <w:rPr>
          <w:b/>
          <w:bCs/>
        </w:rPr>
        <w:t xml:space="preserve">7:00 a.m. ET</w:t>
      </w:r>
      <w:r>
        <w:t xml:space="preserve">, followed by its earnings call at</w:t>
      </w:r>
      <w:r>
        <w:t xml:space="preserve"> </w:t>
      </w:r>
      <w:r>
        <w:rPr>
          <w:b/>
          <w:bCs/>
        </w:rPr>
        <w:t xml:space="preserve">9:00 a.m. ET</w:t>
      </w:r>
      <w:r>
        <w:t xml:space="preserve">. (</w:t>
      </w:r>
      <w:hyperlink r:id="rId9">
        <w:r>
          <w:rPr>
            <w:rStyle w:val="Hyperlink"/>
          </w:rPr>
          <w:t xml:space="preserve">invesco.com</w:t>
        </w:r>
      </w:hyperlink>
      <w:r>
        <w:t xml:space="preserve">)</w:t>
      </w:r>
    </w:p>
    <w:bookmarkStart w:id="10" w:name="executive-view"/>
    <w:p>
      <w:pPr>
        <w:pStyle w:val="Heading2"/>
      </w:pPr>
      <w:r>
        <w:t xml:space="preserve">Executive view</w:t>
      </w:r>
    </w:p>
    <w:p>
      <w:pPr>
        <w:pStyle w:val="FirstParagraph"/>
      </w:pPr>
      <w:r>
        <w:t xml:space="preserve">The broad setup is favorable: Invesco entered the report with record assets under management, sharply higher average AUM and significantly stronger long-term flows than in Q1. Because the monthly AUM figures are already public, the central question is not whether assets increased—it is</w:t>
      </w:r>
      <w:r>
        <w:t xml:space="preserve"> </w:t>
      </w:r>
      <w:r>
        <w:rPr>
          <w:b/>
          <w:bCs/>
        </w:rPr>
        <w:t xml:space="preserve">how effectively that asset growth translated into revenue, margins and earnings</w:t>
      </w:r>
      <w:r>
        <w:t xml:space="preserve">.</w:t>
      </w:r>
    </w:p>
    <w:p>
      <w:pPr>
        <w:pStyle w:val="BodyText"/>
      </w:pPr>
      <w:r>
        <w:t xml:space="preserve">The most important items will be: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Net revenue yield</w:t>
      </w:r>
      <w:r>
        <w:t xml:space="preserve"> </w:t>
      </w:r>
      <w:r>
        <w:t xml:space="preserve">amid rapid growth in QQQ and other passive products.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Adjusted operating-margin expansion</w:t>
      </w:r>
      <w:r>
        <w:t xml:space="preserve"> </w:t>
      </w:r>
      <w:r>
        <w:t xml:space="preserve">as elevated Q1 compensation costs normalize.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composition and durability of organic growth</w:t>
      </w:r>
      <w:r>
        <w:t xml:space="preserve">, particularly active strategies, China and fundamental equities.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Expense guidance</w:t>
      </w:r>
      <w:r>
        <w:t xml:space="preserve">, given that AUM ran well above the level underlying management’s prior forecast.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Capital returns and balance-sheet deleveraging.</w:t>
      </w:r>
    </w:p>
    <w:p>
      <w:pPr>
        <w:pStyle w:val="FirstParagraph"/>
      </w:pPr>
      <w:r>
        <w:t xml:space="preserve">A headline EPS beat would be positive, but a beat driven by unusually favorable non-operating items would matter less than evidence that Invesco can move toward a high-30% operating margin.</w:t>
      </w:r>
    </w:p>
    <w:p>
      <w:r>
        <w:pict>
          <v:rect style="width:0;height:1.5pt" o:hralign="center" o:hrstd="t" o:hr="t"/>
        </w:pict>
      </w:r>
    </w:p>
    <w:bookmarkEnd w:id="10"/>
    <w:bookmarkStart w:id="12" w:name="expectations"/>
    <w:p>
      <w:pPr>
        <w:pStyle w:val="Heading2"/>
      </w:pPr>
      <w:r>
        <w:t xml:space="preserve">Expectations</w:t>
      </w:r>
    </w:p>
    <w:p>
      <w:pPr>
        <w:pStyle w:val="FirstParagraph"/>
      </w:pPr>
      <w:r>
        <w:t xml:space="preserve">Published consensus feeds differ somewhat: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Market expectation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Approximately</w:t>
            </w:r>
            <w:r>
              <w:t xml:space="preserve"> </w:t>
            </w:r>
            <m:oMath>
              <m:r>
                <m:t>0.62</m:t>
              </m:r>
              <m:r>
                <m:rPr>
                  <m:sty m:val="p"/>
                </m:rPr>
                <m:t>–</m:t>
              </m:r>
            </m:oMath>
            <w:r>
              <w:rPr>
                <w:b/>
                <w:bCs/>
              </w:rPr>
              <w:t xml:space="preserve">0.67</w:t>
            </w:r>
          </w:p>
        </w:tc>
      </w:tr>
      <w:tr>
        <w:tc>
          <w:tcPr/>
          <w:p>
            <w:pPr>
              <w:pStyle w:val="Compact"/>
            </w:pPr>
            <w:r>
              <w:t xml:space="preserve">Net revenue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Approximately</w:t>
            </w:r>
            <w:r>
              <w:t xml:space="preserve"> </w:t>
            </w:r>
            <m:oMath>
              <m:r>
                <m:t>1.28</m:t>
              </m:r>
              <m:r>
                <m:rPr>
                  <m:sty m:val="p"/>
                </m:rPr>
                <m:t>–</m:t>
              </m:r>
            </m:oMath>
            <w:r>
              <w:rPr>
                <w:b/>
                <w:bCs/>
              </w:rPr>
              <w:t xml:space="preserve">1.32 billion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Year-ago adjusted EPS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$0.36</w:t>
            </w:r>
          </w:p>
        </w:tc>
      </w:tr>
      <w:tr>
        <w:tc>
          <w:tcPr/>
          <w:p>
            <w:pPr>
              <w:pStyle w:val="Compact"/>
            </w:pPr>
            <w:r>
              <w:t xml:space="preserve">Q1 2026 adjusted EPS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$0.57</w:t>
            </w:r>
          </w:p>
        </w:tc>
      </w:tr>
    </w:tbl>
    <w:p>
      <w:pPr>
        <w:pStyle w:val="BodyText"/>
      </w:pPr>
      <w:r>
        <w:t xml:space="preserve">More recent feeds cluster around</w:t>
      </w:r>
      <w:r>
        <w:t xml:space="preserve"> </w:t>
      </w:r>
      <w:r>
        <w:rPr>
          <w:b/>
          <w:bCs/>
        </w:rPr>
        <w:t xml:space="preserve">$0.67 of EPS</w:t>
      </w:r>
      <w:r>
        <w:t xml:space="preserve">, although at least one provider remains at $0.62. Revenue estimates similarly vary based partly on presentation and data-provider definitions. (</w:t>
      </w:r>
      <w:hyperlink r:id="rId11">
        <w:r>
          <w:rPr>
            <w:rStyle w:val="Hyperlink"/>
          </w:rPr>
          <w:t xml:space="preserve">tipranks.com</w:t>
        </w:r>
      </w:hyperlink>
      <w:r>
        <w:t xml:space="preserve">)</w:t>
      </w:r>
    </w:p>
    <w:p>
      <w:pPr>
        <w:pStyle w:val="BodyText"/>
      </w:pPr>
      <w:r>
        <w:t xml:space="preserve">Given the known AUM backdrop, consensus appears achievable. The uncertainty lies primarily in fee yield and expenses rather than assets.</w:t>
      </w:r>
    </w:p>
    <w:p>
      <w:r>
        <w:pict>
          <v:rect style="width:0;height:1.5pt" o:hralign="center" o:hrstd="t" o:hr="t"/>
        </w:pict>
      </w:r>
    </w:p>
    <w:bookmarkEnd w:id="12"/>
    <w:bookmarkStart w:id="16" w:name="Xed028c9874bd9244d001e1ae4552dfd06fffe9b"/>
    <w:p>
      <w:pPr>
        <w:pStyle w:val="Heading2"/>
      </w:pPr>
      <w:r>
        <w:t xml:space="preserve">The known positive: AUM and flows were exceptionally strong</w:t>
      </w:r>
    </w:p>
    <w:p>
      <w:pPr>
        <w:pStyle w:val="FirstParagraph"/>
      </w:pPr>
      <w:r>
        <w:t xml:space="preserve">Invesco ended June with</w:t>
      </w:r>
      <w:r>
        <w:t xml:space="preserve"> </w:t>
      </w:r>
      <w:r>
        <w:rPr>
          <w:b/>
          <w:bCs/>
        </w:rPr>
        <w:t xml:space="preserve">$2.470 trillion of AUM</w:t>
      </w:r>
      <w:r>
        <w:t xml:space="preserve">, up</w:t>
      </w:r>
      <w:r>
        <w:t xml:space="preserve"> </w:t>
      </w:r>
      <w:r>
        <w:rPr>
          <w:b/>
          <w:bCs/>
        </w:rPr>
        <w:t xml:space="preserve">14.4% from</w:t>
      </w:r>
      <w:r>
        <w:rPr>
          <w:b/>
          <w:bCs/>
        </w:rPr>
        <w:t xml:space="preserve"> </w:t>
      </w:r>
      <m:oMath>
        <m:r>
          <m:t>2.160</m:t>
        </m:r>
        <m:r>
          <m:t>t</m:t>
        </m:r>
        <m:r>
          <m:t>r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t>a</m:t>
        </m:r>
        <m:r>
          <m:t>t</m:t>
        </m:r>
        <m:r>
          <m:t>M</m:t>
        </m:r>
        <m:r>
          <m:t>a</m:t>
        </m:r>
        <m:r>
          <m:t>r</m:t>
        </m:r>
        <m:r>
          <m:t>c</m:t>
        </m:r>
        <m:r>
          <m:t>h</m:t>
        </m:r>
        <m:r>
          <m:t>31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.</m:t>
        </m:r>
        <m:r>
          <m:t>P</m:t>
        </m:r>
        <m:r>
          <m:t>r</m:t>
        </m:r>
        <m:r>
          <m:t>e</m:t>
        </m:r>
        <m:r>
          <m:t>l</m:t>
        </m:r>
        <m:r>
          <m:t>i</m:t>
        </m:r>
        <m:r>
          <m:t>m</m:t>
        </m:r>
        <m:r>
          <m:t>i</m:t>
        </m:r>
        <m:r>
          <m:t>n</m:t>
        </m:r>
        <m:r>
          <m:t>a</m:t>
        </m:r>
        <m:r>
          <m:t>r</m:t>
        </m:r>
        <m:r>
          <m:t>y</m:t>
        </m:r>
        <m:r>
          <m:t>a</m:t>
        </m:r>
        <m:r>
          <m:t>v</m:t>
        </m:r>
        <m:r>
          <m:t>e</m:t>
        </m:r>
        <m:r>
          <m:t>r</m:t>
        </m:r>
        <m:r>
          <m:t>a</m:t>
        </m:r>
        <m:r>
          <m:t>g</m:t>
        </m:r>
        <m:r>
          <m:t>e</m:t>
        </m:r>
        <m:r>
          <m:t>Q</m:t>
        </m:r>
        <m:r>
          <m:t>2</m:t>
        </m:r>
        <m:r>
          <m:t>A</m:t>
        </m:r>
        <m:r>
          <m:t>U</m:t>
        </m:r>
        <m:r>
          <m:t>M</m:t>
        </m:r>
        <m:r>
          <m:t>w</m:t>
        </m:r>
        <m:r>
          <m:t>a</m:t>
        </m:r>
        <m:r>
          <m:t>s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2.369 trillion</w:t>
      </w:r>
      <w:r>
        <w:t xml:space="preserve">, about</w:t>
      </w:r>
      <w:r>
        <w:t xml:space="preserve"> </w:t>
      </w:r>
      <w:r>
        <w:rPr>
          <w:b/>
          <w:bCs/>
        </w:rPr>
        <w:t xml:space="preserve">6.8% above Q1’s $2.219 trillion</w:t>
      </w:r>
      <w:r>
        <w:t xml:space="preserve">.</w:t>
      </w:r>
    </w:p>
    <w:p>
      <w:pPr>
        <w:pStyle w:val="BodyText"/>
      </w:pPr>
      <w:r>
        <w:t xml:space="preserve">Monthly net long-term inflows were: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April:</w:t>
      </w:r>
      <w:r>
        <w:t xml:space="preserve"> </w:t>
      </w:r>
      <w:r>
        <w:t xml:space="preserve">$18.2 billion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May:</w:t>
      </w:r>
      <w:r>
        <w:t xml:space="preserve"> </w:t>
      </w:r>
      <w:r>
        <w:t xml:space="preserve">$18.9 billion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June:</w:t>
      </w:r>
      <w:r>
        <w:t xml:space="preserve"> </w:t>
      </w:r>
      <w:r>
        <w:t xml:space="preserve">$8.0 billion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Q2 total:</w:t>
      </w:r>
      <w:r>
        <w:t xml:space="preserve"> </w:t>
      </w:r>
      <w:r>
        <w:t xml:space="preserve">approximately</w:t>
      </w:r>
      <w:r>
        <w:t xml:space="preserve"> </w:t>
      </w:r>
      <w:r>
        <w:rPr>
          <w:b/>
          <w:bCs/>
        </w:rPr>
        <w:t xml:space="preserve">$45.1 billion</w:t>
      </w:r>
    </w:p>
    <w:p>
      <w:pPr>
        <w:pStyle w:val="FirstParagraph"/>
      </w:pPr>
      <w:r>
        <w:t xml:space="preserve">That is more than double Q1’s</w:t>
      </w:r>
      <w:r>
        <w:t xml:space="preserve"> </w:t>
      </w:r>
      <m:oMath>
        <m:r>
          <m:t>21.8</m:t>
        </m:r>
        <m:r>
          <m:t>b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t>o</m:t>
        </m:r>
        <m:r>
          <m:t>f</m:t>
        </m:r>
        <m:r>
          <m:t>n</m:t>
        </m:r>
        <m:r>
          <m:t>e</m:t>
        </m:r>
        <m:r>
          <m:t>t</m:t>
        </m:r>
        <m:r>
          <m:t>l</m:t>
        </m:r>
        <m:r>
          <m:t>o</m:t>
        </m:r>
        <m:r>
          <m:t>n</m:t>
        </m:r>
        <m:r>
          <m:t>g</m:t>
        </m:r>
        <m:r>
          <m:rPr>
            <m:sty m:val="p"/>
          </m:rPr>
          <m:t>−</m:t>
        </m:r>
        <m:r>
          <m:t>t</m:t>
        </m:r>
        <m:r>
          <m:t>e</m:t>
        </m:r>
        <m:r>
          <m:t>r</m:t>
        </m:r>
        <m:r>
          <m:t>m</m:t>
        </m:r>
        <m:r>
          <m:t>i</m:t>
        </m:r>
        <m:r>
          <m:t>n</m:t>
        </m:r>
        <m:r>
          <m:t>f</m:t>
        </m:r>
        <m:r>
          <m:t>l</m:t>
        </m:r>
        <m:r>
          <m:t>o</m:t>
        </m:r>
        <m:r>
          <m:t>w</m:t>
        </m:r>
        <m:r>
          <m:t>s</m:t>
        </m:r>
        <m:r>
          <m:rPr>
            <m:sty m:val="p"/>
          </m:rPr>
          <m:t>.</m:t>
        </m:r>
        <m:r>
          <m:t>M</m:t>
        </m:r>
        <m:r>
          <m:t>o</m:t>
        </m:r>
        <m:r>
          <m:t>n</m:t>
        </m:r>
        <m:r>
          <m:t>e</m:t>
        </m:r>
        <m:r>
          <m:t>y</m:t>
        </m:r>
        <m:r>
          <m:rPr>
            <m:sty m:val="p"/>
          </m:rPr>
          <m:t>−</m:t>
        </m:r>
        <m:r>
          <m:t>m</m:t>
        </m:r>
        <m:r>
          <m:t>a</m:t>
        </m:r>
        <m:r>
          <m:t>r</m:t>
        </m:r>
        <m:r>
          <m:t>k</m:t>
        </m:r>
        <m:r>
          <m:t>e</m:t>
        </m:r>
        <m:r>
          <m:t>t</m:t>
        </m:r>
        <m:r>
          <m:t>f</m:t>
        </m:r>
        <m:r>
          <m:t>l</m:t>
        </m:r>
        <m:r>
          <m:t>o</m:t>
        </m:r>
        <m:r>
          <m:t>w</m:t>
        </m:r>
        <m:r>
          <m:t>s</m:t>
        </m:r>
        <m:r>
          <m:t>a</m:t>
        </m:r>
        <m:r>
          <m:t>d</m:t>
        </m:r>
        <m:r>
          <m:t>d</m:t>
        </m:r>
        <m:r>
          <m:t>e</m:t>
        </m:r>
        <m:r>
          <m:t>d</m:t>
        </m:r>
        <m:r>
          <m:t>a</m:t>
        </m:r>
        <m:r>
          <m:t>n</m:t>
        </m:r>
        <m:r>
          <m:t>o</m:t>
        </m:r>
        <m:r>
          <m:t>t</m:t>
        </m:r>
        <m:r>
          <m:t>h</m:t>
        </m:r>
        <m:r>
          <m:t>e</m:t>
        </m:r>
        <m:r>
          <m:t>r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t xml:space="preserve">16.9 billion** during the quarter. (</w:t>
      </w:r>
      <w:hyperlink r:id="rId13">
        <w:r>
          <w:rPr>
            <w:rStyle w:val="Hyperlink"/>
          </w:rPr>
          <w:t xml:space="preserve">sec.gov</w:t>
        </w:r>
      </w:hyperlink>
      <w:r>
        <w:t xml:space="preserve">)</w:t>
      </w:r>
    </w:p>
    <w:p>
      <w:pPr>
        <w:pStyle w:val="BodyText"/>
      </w:pPr>
      <w:r>
        <w:t xml:space="preserve">The quarterly trajectory nevertheless deserves some nuance. Long-term inflows slowed to $8 billion in June from roughly $19 billion in each of April and May. That remains healthy, but investors should listen for whether June represented normal monthly variability or a broader moderation entering Q3.</w:t>
      </w:r>
    </w:p>
    <w:bookmarkStart w:id="15" w:name="aum-growth-by-major-capability"/>
    <w:p>
      <w:pPr>
        <w:pStyle w:val="Heading3"/>
      </w:pPr>
      <w:r>
        <w:t xml:space="preserve">AUM growth by major capability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AUM, billions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Mar. 31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Jun. 30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Change</w:t>
            </w:r>
          </w:p>
        </w:tc>
      </w:tr>
      <w:tr>
        <w:tc>
          <w:tcPr/>
          <w:p>
            <w:pPr>
              <w:pStyle w:val="Compact"/>
            </w:pPr>
            <w:r>
              <w:t xml:space="preserve">ETFs and index strategies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$638.3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$753.5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+18%</w:t>
            </w:r>
          </w:p>
        </w:tc>
      </w:tr>
      <w:tr>
        <w:tc>
          <w:tcPr/>
          <w:p>
            <w:pPr>
              <w:pStyle w:val="Compact"/>
            </w:pPr>
            <w:r>
              <w:t xml:space="preserve">QQQ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$372.5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$490.1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+32%</w:t>
            </w:r>
          </w:p>
        </w:tc>
      </w:tr>
      <w:tr>
        <w:tc>
          <w:tcPr/>
          <w:p>
            <w:pPr>
              <w:pStyle w:val="Compact"/>
            </w:pPr>
            <w:r>
              <w:t xml:space="preserve">Fundamental fixed income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$312.5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$315.5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+1%</w:t>
            </w:r>
          </w:p>
        </w:tc>
      </w:tr>
      <w:tr>
        <w:tc>
          <w:tcPr/>
          <w:p>
            <w:pPr>
              <w:pStyle w:val="Compact"/>
            </w:pPr>
            <w:r>
              <w:t xml:space="preserve">Fundamental equities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$287.7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$318.1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+11%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Private markets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$131.3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$135.5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+3%</w:t>
            </w:r>
          </w:p>
        </w:tc>
      </w:tr>
      <w:tr>
        <w:tc>
          <w:tcPr/>
          <w:p>
            <w:pPr>
              <w:pStyle w:val="Compact"/>
            </w:pPr>
            <w:r>
              <w:t xml:space="preserve">China JV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$141.9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$163.2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+15%</w:t>
            </w:r>
          </w:p>
        </w:tc>
      </w:tr>
      <w:tr>
        <w:tc>
          <w:tcPr/>
          <w:p>
            <w:pPr>
              <w:pStyle w:val="Compact"/>
            </w:pPr>
            <w:r>
              <w:t xml:space="preserve">Global liquidity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$201.2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$214.5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+7%</w:t>
            </w:r>
          </w:p>
        </w:tc>
      </w:tr>
    </w:tbl>
    <w:p>
      <w:pPr>
        <w:pStyle w:val="BodyText"/>
      </w:pPr>
      <w:r>
        <w:t xml:space="preserve">QQQ and the broader ETF platform drove much of the growth. China also continued to scale rapidly, while the rise in fundamental-equity AUM offers a potentially favorable revenue-mix contribution if it included improved flows rather than just market appreciation. (</w:t>
      </w:r>
      <w:hyperlink r:id="rId14">
        <w:r>
          <w:rPr>
            <w:rStyle w:val="Hyperlink"/>
          </w:rPr>
          <w:t xml:space="preserve">sec.gov</w:t>
        </w:r>
      </w:hyperlink>
      <w:r>
        <w:t xml:space="preserve">)</w:t>
      </w:r>
    </w:p>
    <w:p>
      <w:r>
        <w:pict>
          <v:rect style="width:0;height:1.5pt" o:hralign="center" o:hrstd="t" o:hr="t"/>
        </w:pict>
      </w:r>
    </w:p>
    <w:bookmarkEnd w:id="15"/>
    <w:bookmarkEnd w:id="16"/>
    <w:bookmarkStart w:id="20" w:name="X25b84489eb2a28461403123739dc819342a1517"/>
    <w:p>
      <w:pPr>
        <w:pStyle w:val="Heading2"/>
      </w:pPr>
      <w:r>
        <w:t xml:space="preserve">The key debate: how much of the AUM growth reaches revenue?</w:t>
      </w:r>
    </w:p>
    <w:p>
      <w:pPr>
        <w:pStyle w:val="FirstParagraph"/>
      </w:pPr>
      <w:r>
        <w:t xml:space="preserve">In Q1, Invesco reported: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$1.264 billion of adjusted net revenue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22.9 basis points of net revenue yield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22.8 basis points of exit yield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$436 million of adjusted operating income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34.5% adjusted operating margin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$0.57 adjusted EPS</w:t>
      </w:r>
    </w:p>
    <w:p>
      <w:pPr>
        <w:pStyle w:val="FirstParagraph"/>
      </w:pPr>
      <w:r>
        <w:t xml:space="preserve">Management said the revenue yield appeared to be stabilizing after a long period of pressure from the shift toward ETFs, fixed income and other lower-fee products. (</w:t>
      </w:r>
      <w:hyperlink r:id="rId17">
        <w:r>
          <w:rPr>
            <w:rStyle w:val="Hyperlink"/>
          </w:rPr>
          <w:t xml:space="preserve">sec.gov</w:t>
        </w:r>
      </w:hyperlink>
      <w:r>
        <w:t xml:space="preserve">)</w:t>
      </w:r>
    </w:p>
    <w:p>
      <w:pPr>
        <w:pStyle w:val="BodyText"/>
      </w:pPr>
      <w:r>
        <w:t xml:space="preserve">Q2 creates a meaningful test of that stabilization thesis. Average AUM rose almost 7%, but much of the increase came from QQQ and passive strategies. These assets are valuable and scalable, yet their economics differ from higher-fee active equities and private-market products.</w:t>
      </w:r>
    </w:p>
    <w:bookmarkStart w:id="18" w:name="what-would-be-constructive"/>
    <w:p>
      <w:pPr>
        <w:pStyle w:val="Heading3"/>
      </w:pPr>
      <w:r>
        <w:t xml:space="preserve">What would be constructive</w:t>
      </w:r>
    </w:p>
    <w:p>
      <w:pPr>
        <w:pStyle w:val="Compact"/>
        <w:numPr>
          <w:ilvl w:val="0"/>
          <w:numId w:val="1004"/>
        </w:numPr>
      </w:pPr>
      <w:r>
        <w:t xml:space="preserve">Net revenue rising broadly in line with average AUM.</w:t>
      </w:r>
    </w:p>
    <w:p>
      <w:pPr>
        <w:pStyle w:val="Compact"/>
        <w:numPr>
          <w:ilvl w:val="0"/>
          <w:numId w:val="1004"/>
        </w:numPr>
      </w:pPr>
      <w:r>
        <w:t xml:space="preserve">Net revenue yield holding near the Q1 exit rate.</w:t>
      </w:r>
    </w:p>
    <w:p>
      <w:pPr>
        <w:pStyle w:val="Compact"/>
        <w:numPr>
          <w:ilvl w:val="0"/>
          <w:numId w:val="1004"/>
        </w:numPr>
      </w:pPr>
      <w:r>
        <w:t xml:space="preserve">Evidence that QQQ’s higher asset base is generating substantial incremental profit.</w:t>
      </w:r>
    </w:p>
    <w:p>
      <w:pPr>
        <w:pStyle w:val="Compact"/>
        <w:numPr>
          <w:ilvl w:val="0"/>
          <w:numId w:val="1004"/>
        </w:numPr>
      </w:pPr>
      <w:r>
        <w:t xml:space="preserve">Improved fundamental-equity flows and continued growth in active fixed income.</w:t>
      </w:r>
    </w:p>
    <w:p>
      <w:pPr>
        <w:pStyle w:val="Compact"/>
        <w:numPr>
          <w:ilvl w:val="0"/>
          <w:numId w:val="1004"/>
        </w:numPr>
      </w:pPr>
      <w:r>
        <w:t xml:space="preserve">China JV profit growth keeping pace with AUM despite fee-rate pressure.</w:t>
      </w:r>
    </w:p>
    <w:bookmarkEnd w:id="18"/>
    <w:bookmarkStart w:id="19" w:name="what-would-be-disappointing"/>
    <w:p>
      <w:pPr>
        <w:pStyle w:val="Heading3"/>
      </w:pPr>
      <w:r>
        <w:t xml:space="preserve">What would be disappointing</w:t>
      </w:r>
    </w:p>
    <w:p>
      <w:pPr>
        <w:pStyle w:val="Compact"/>
        <w:numPr>
          <w:ilvl w:val="0"/>
          <w:numId w:val="1005"/>
        </w:numPr>
      </w:pPr>
      <w:r>
        <w:t xml:space="preserve">Material yield compression despite record AUM.</w:t>
      </w:r>
    </w:p>
    <w:p>
      <w:pPr>
        <w:pStyle w:val="Compact"/>
        <w:numPr>
          <w:ilvl w:val="0"/>
          <w:numId w:val="1005"/>
        </w:numPr>
      </w:pPr>
      <w:r>
        <w:t xml:space="preserve">Revenue near the low end of consensus while expenses increase.</w:t>
      </w:r>
    </w:p>
    <w:p>
      <w:pPr>
        <w:pStyle w:val="Compact"/>
        <w:numPr>
          <w:ilvl w:val="0"/>
          <w:numId w:val="1005"/>
        </w:numPr>
      </w:pPr>
      <w:r>
        <w:t xml:space="preserve">Growth concentrated primarily in low-fee or liquidity assets.</w:t>
      </w:r>
    </w:p>
    <w:p>
      <w:pPr>
        <w:pStyle w:val="Compact"/>
        <w:numPr>
          <w:ilvl w:val="0"/>
          <w:numId w:val="1005"/>
        </w:numPr>
      </w:pPr>
      <w:r>
        <w:t xml:space="preserve">Continued fundamental-equity outflows masked by market appreciation.</w:t>
      </w:r>
    </w:p>
    <w:p>
      <w:r>
        <w:pict>
          <v:rect style="width:0;height:1.5pt" o:hralign="center" o:hrstd="t" o:hr="t"/>
        </w:pict>
      </w:r>
    </w:p>
    <w:bookmarkEnd w:id="19"/>
    <w:bookmarkEnd w:id="20"/>
    <w:bookmarkStart w:id="21" w:name="margins-may-matter-more-than-eps"/>
    <w:p>
      <w:pPr>
        <w:pStyle w:val="Heading2"/>
      </w:pPr>
      <w:r>
        <w:t xml:space="preserve">Margins may matter more than EPS</w:t>
      </w:r>
    </w:p>
    <w:p>
      <w:pPr>
        <w:pStyle w:val="FirstParagraph"/>
      </w:pPr>
      <w:r>
        <w:t xml:space="preserve">Q1’s 34.5% adjusted margin was burdened by approximately</w:t>
      </w:r>
      <w:r>
        <w:t xml:space="preserve"> </w:t>
      </w:r>
      <w:r>
        <w:rPr>
          <w:b/>
          <w:bCs/>
        </w:rPr>
        <w:t xml:space="preserve">$33 million of accelerated compensation expense</w:t>
      </w:r>
      <w:r>
        <w:t xml:space="preserve"> </w:t>
      </w:r>
      <w:r>
        <w:t xml:space="preserve">associated with retirement-eligible employees, plus normal first-quarter payroll-tax seasonality. Those effects should ease sequentially.</w:t>
      </w:r>
    </w:p>
    <w:p>
      <w:pPr>
        <w:pStyle w:val="BodyText"/>
      </w:pPr>
      <w:r>
        <w:t xml:space="preserve">At the same time, there are offsets:</w:t>
      </w:r>
    </w:p>
    <w:p>
      <w:pPr>
        <w:pStyle w:val="Compact"/>
        <w:numPr>
          <w:ilvl w:val="0"/>
          <w:numId w:val="1006"/>
        </w:numPr>
      </w:pPr>
      <w:r>
        <w:t xml:space="preserve">Higher revenue can produce higher variable compensation.</w:t>
      </w:r>
    </w:p>
    <w:p>
      <w:pPr>
        <w:pStyle w:val="Compact"/>
        <w:numPr>
          <w:ilvl w:val="0"/>
          <w:numId w:val="1006"/>
        </w:numPr>
      </w:pPr>
      <w:r>
        <w:t xml:space="preserve">Marketing associated with QQQ is now fully reflected in the run rate.</w:t>
      </w:r>
    </w:p>
    <w:p>
      <w:pPr>
        <w:pStyle w:val="Compact"/>
        <w:numPr>
          <w:ilvl w:val="0"/>
          <w:numId w:val="1006"/>
        </w:numPr>
      </w:pPr>
      <w:r>
        <w:t xml:space="preserve">Hybrid investment-platform implementation costs were expected to remain around</w:t>
      </w:r>
      <w:r>
        <w:t xml:space="preserve"> </w:t>
      </w:r>
      <m:oMath>
        <m:r>
          <m:t>10</m:t>
        </m:r>
        <m:r>
          <m:rPr>
            <m:sty m:val="p"/>
          </m:rPr>
          <m:t>–</m:t>
        </m:r>
      </m:oMath>
      <w:r>
        <w:rPr>
          <w:b/>
          <w:bCs/>
        </w:rPr>
        <w:t xml:space="preserve">15 million per quarter</w:t>
      </w:r>
      <w:r>
        <w:t xml:space="preserve">.</w:t>
      </w:r>
    </w:p>
    <w:p>
      <w:pPr>
        <w:pStyle w:val="Compact"/>
        <w:numPr>
          <w:ilvl w:val="0"/>
          <w:numId w:val="1006"/>
        </w:numPr>
      </w:pPr>
      <w:r>
        <w:t xml:space="preserve">Incremental costs associated with assets transferred to that platform were expected to build during 2026.</w:t>
      </w:r>
    </w:p>
    <w:p>
      <w:pPr>
        <w:pStyle w:val="FirstParagraph"/>
      </w:pPr>
      <w:r>
        <w:t xml:space="preserve">Management previously guided to approximately</w:t>
      </w:r>
      <w:r>
        <w:t xml:space="preserve"> </w:t>
      </w:r>
      <w:r>
        <w:rPr>
          <w:b/>
          <w:bCs/>
        </w:rPr>
        <w:t xml:space="preserve">$3.275 billion of 2026 operating expenses</w:t>
      </w:r>
      <w:r>
        <w:t xml:space="preserve">, assuming flat markets from an AUM level around $2.3 trillion. Actual Q2 average and ending AUM were above that assumption, so an expense-guide increase would not necessarily be bearish if it simply reflects higher variable costs tied to stronger revenue.</w:t>
      </w:r>
    </w:p>
    <w:p>
      <w:pPr>
        <w:pStyle w:val="BodyText"/>
      </w:pPr>
      <w:r>
        <w:t xml:space="preserve">The better measure will be operating leverage. A move into the</w:t>
      </w:r>
      <w:r>
        <w:t xml:space="preserve"> </w:t>
      </w:r>
      <w:r>
        <w:rPr>
          <w:b/>
          <w:bCs/>
        </w:rPr>
        <w:t xml:space="preserve">36%–38% adjusted-margin range</w:t>
      </w:r>
      <w:r>
        <w:t xml:space="preserve">, accompanied by constructive forward commentary, would support management’s longer-term objective of returning to the high 30s.</w:t>
      </w:r>
    </w:p>
    <w:p>
      <w:r>
        <w:pict>
          <v:rect style="width:0;height:1.5pt" o:hralign="center" o:hrstd="t" o:hr="t"/>
        </w:pict>
      </w:r>
    </w:p>
    <w:bookmarkEnd w:id="21"/>
    <w:bookmarkStart w:id="27" w:name="five-topics-to-monitor-on-the-call"/>
    <w:p>
      <w:pPr>
        <w:pStyle w:val="Heading2"/>
      </w:pPr>
      <w:r>
        <w:t xml:space="preserve">Five topics to monitor on the call</w:t>
      </w:r>
    </w:p>
    <w:bookmarkStart w:id="22" w:name="X468ed041b1ac02b87b221fa0400dfe5f48c9344"/>
    <w:p>
      <w:pPr>
        <w:pStyle w:val="Heading3"/>
      </w:pPr>
      <w:r>
        <w:t xml:space="preserve">1. Quality of the $45 billion in quarterly inflows</w:t>
      </w:r>
    </w:p>
    <w:p>
      <w:pPr>
        <w:pStyle w:val="FirstParagraph"/>
      </w:pPr>
      <w:r>
        <w:t xml:space="preserve">Investors need the capability-level flow breakdown. In particular:</w:t>
      </w:r>
    </w:p>
    <w:p>
      <w:pPr>
        <w:pStyle w:val="Compact"/>
        <w:numPr>
          <w:ilvl w:val="0"/>
          <w:numId w:val="1007"/>
        </w:numPr>
      </w:pPr>
      <w:r>
        <w:t xml:space="preserve">Did QQQ reverse Q1’s $10.8 billion of outflows?</w:t>
      </w:r>
    </w:p>
    <w:p>
      <w:pPr>
        <w:pStyle w:val="Compact"/>
        <w:numPr>
          <w:ilvl w:val="0"/>
          <w:numId w:val="1007"/>
        </w:numPr>
      </w:pPr>
      <w:r>
        <w:t xml:space="preserve">Did ETF/index flows remain diversified beyond a few flagship products?</w:t>
      </w:r>
    </w:p>
    <w:p>
      <w:pPr>
        <w:pStyle w:val="Compact"/>
        <w:numPr>
          <w:ilvl w:val="0"/>
          <w:numId w:val="1007"/>
        </w:numPr>
      </w:pPr>
      <w:r>
        <w:t xml:space="preserve">Did fundamental equities return to positive territory?</w:t>
      </w:r>
    </w:p>
    <w:p>
      <w:pPr>
        <w:pStyle w:val="Compact"/>
        <w:numPr>
          <w:ilvl w:val="0"/>
          <w:numId w:val="1007"/>
        </w:numPr>
      </w:pPr>
      <w:r>
        <w:t xml:space="preserve">How much came from China’s fixed-income-plus products?</w:t>
      </w:r>
    </w:p>
    <w:p>
      <w:pPr>
        <w:pStyle w:val="Compact"/>
        <w:numPr>
          <w:ilvl w:val="0"/>
          <w:numId w:val="1007"/>
        </w:numPr>
      </w:pPr>
      <w:r>
        <w:t xml:space="preserve">Were institutional flows still growing faster than retail flows?</w:t>
      </w:r>
    </w:p>
    <w:p>
      <w:pPr>
        <w:pStyle w:val="FirstParagraph"/>
      </w:pPr>
      <w:r>
        <w:t xml:space="preserve">Q1 fundamental-equity outflows of $2.4 billion were already the lowest in nearly nine years, making a return to inflows a potentially meaningful inflection.</w:t>
      </w:r>
    </w:p>
    <w:bookmarkEnd w:id="22"/>
    <w:bookmarkStart w:id="23" w:name="X5f375afc43869f89f3abc4895d7a1bc7f8763c6"/>
    <w:p>
      <w:pPr>
        <w:pStyle w:val="Heading3"/>
      </w:pPr>
      <w:r>
        <w:t xml:space="preserve">2. QQQ competition and economics</w:t>
      </w:r>
    </w:p>
    <w:p>
      <w:pPr>
        <w:pStyle w:val="FirstParagraph"/>
      </w:pPr>
      <w:r>
        <w:t xml:space="preserve">New competition for Nasdaq-100 ETF assets remains a strategic concern. Management argues that QQQ’s liquidity, brand, derivatives ecosystem and embedded investor base form a substantial moat.</w:t>
      </w:r>
    </w:p>
    <w:p>
      <w:pPr>
        <w:pStyle w:val="BodyText"/>
      </w:pPr>
      <w:r>
        <w:t xml:space="preserve">The report should clarify:</w:t>
      </w:r>
    </w:p>
    <w:p>
      <w:pPr>
        <w:pStyle w:val="Compact"/>
        <w:numPr>
          <w:ilvl w:val="0"/>
          <w:numId w:val="1008"/>
        </w:numPr>
      </w:pPr>
      <w:r>
        <w:t xml:space="preserve">QQQ net flows during Q2.</w:t>
      </w:r>
    </w:p>
    <w:p>
      <w:pPr>
        <w:pStyle w:val="Compact"/>
        <w:numPr>
          <w:ilvl w:val="0"/>
          <w:numId w:val="1008"/>
        </w:numPr>
      </w:pPr>
      <w:r>
        <w:t xml:space="preserve">Whether pricing or marketing plans are changing.</w:t>
      </w:r>
    </w:p>
    <w:p>
      <w:pPr>
        <w:pStyle w:val="Compact"/>
        <w:numPr>
          <w:ilvl w:val="0"/>
          <w:numId w:val="1008"/>
        </w:numPr>
      </w:pPr>
      <w:r>
        <w:t xml:space="preserve">The level of incremental QQQ-related revenue and marketing expense.</w:t>
      </w:r>
    </w:p>
    <w:p>
      <w:pPr>
        <w:pStyle w:val="Compact"/>
        <w:numPr>
          <w:ilvl w:val="0"/>
          <w:numId w:val="1008"/>
        </w:numPr>
      </w:pPr>
      <w:r>
        <w:t xml:space="preserve">Progress expanding the QQQ franchise internationally.</w:t>
      </w:r>
    </w:p>
    <w:p>
      <w:pPr>
        <w:pStyle w:val="FirstParagraph"/>
      </w:pPr>
      <w:r>
        <w:t xml:space="preserve">A strong quarter would support the view that competing products may expand the Nasdaq-100 category without materially eroding QQQ.</w:t>
      </w:r>
    </w:p>
    <w:bookmarkEnd w:id="23"/>
    <w:bookmarkStart w:id="24" w:name="Xf6f4e64c7d75315a111583a8f77c6f460bb1d58"/>
    <w:p>
      <w:pPr>
        <w:pStyle w:val="Heading3"/>
      </w:pPr>
      <w:r>
        <w:t xml:space="preserve">3. China: high growth, but watch the fee rate</w:t>
      </w:r>
    </w:p>
    <w:p>
      <w:pPr>
        <w:pStyle w:val="FirstParagraph"/>
      </w:pPr>
      <w:r>
        <w:t xml:space="preserve">China JV AUM reached $163.2 billion, up 15% during Q2. The platform has been one of Invesco’s most differentiated growth businesses, but management has also acknowledged that newer fixed-income and ETF products generally carry lower fees.</w:t>
      </w:r>
    </w:p>
    <w:p>
      <w:pPr>
        <w:pStyle w:val="BodyText"/>
      </w:pPr>
      <w:r>
        <w:t xml:space="preserve">Investors should focus on</w:t>
      </w:r>
      <w:r>
        <w:t xml:space="preserve"> </w:t>
      </w:r>
      <w:r>
        <w:rPr>
          <w:b/>
          <w:bCs/>
        </w:rPr>
        <w:t xml:space="preserve">China JV earnings and margins</w:t>
      </w:r>
      <w:r>
        <w:t xml:space="preserve">, not simply AUM.</w:t>
      </w:r>
    </w:p>
    <w:bookmarkEnd w:id="24"/>
    <w:bookmarkStart w:id="25" w:name="X0d519a25b267e936f475ad2e789fcd5d98fa1e9"/>
    <w:p>
      <w:pPr>
        <w:pStyle w:val="Heading3"/>
      </w:pPr>
      <w:r>
        <w:t xml:space="preserve">4. Expense savings and the hybrid platform</w:t>
      </w:r>
    </w:p>
    <w:p>
      <w:pPr>
        <w:pStyle w:val="FirstParagraph"/>
      </w:pPr>
      <w:r>
        <w:t xml:space="preserve">Management expects at least</w:t>
      </w:r>
      <w:r>
        <w:t xml:space="preserve"> </w:t>
      </w:r>
      <w:r>
        <w:rPr>
          <w:b/>
          <w:bCs/>
        </w:rPr>
        <w:t xml:space="preserve">$60 million of savings in 2027</w:t>
      </w:r>
      <w:r>
        <w:t xml:space="preserve">, including the disappearance of implementation costs after 2026. Investors will want confirmation that the project remains on schedule for year-end completion and that expected savings have not slipped.</w:t>
      </w:r>
    </w:p>
    <w:bookmarkEnd w:id="25"/>
    <w:bookmarkStart w:id="26" w:name="X0f1914217dca647230d4bd4814f72bca8aa9c4e"/>
    <w:p>
      <w:pPr>
        <w:pStyle w:val="Heading3"/>
      </w:pPr>
      <w:r>
        <w:t xml:space="preserve">5. Capital allocation</w:t>
      </w:r>
    </w:p>
    <w:p>
      <w:pPr>
        <w:pStyle w:val="FirstParagraph"/>
      </w:pPr>
      <w:r>
        <w:t xml:space="preserve">At March 31, Invesco had approximately $2.0 billion of debt, including $1.1 billion drawn on its revolving facility. Management planned to reduce that balance while targeting a total common dividend-and-buyback payout ratio near 60% for 2026.</w:t>
      </w:r>
    </w:p>
    <w:p>
      <w:pPr>
        <w:pStyle w:val="BodyText"/>
      </w:pPr>
      <w:r>
        <w:t xml:space="preserve">Watch for:</w:t>
      </w:r>
    </w:p>
    <w:p>
      <w:pPr>
        <w:pStyle w:val="Compact"/>
        <w:numPr>
          <w:ilvl w:val="0"/>
          <w:numId w:val="1009"/>
        </w:numPr>
      </w:pPr>
      <w:r>
        <w:t xml:space="preserve">Revolver repayment.</w:t>
      </w:r>
    </w:p>
    <w:p>
      <w:pPr>
        <w:pStyle w:val="Compact"/>
        <w:numPr>
          <w:ilvl w:val="0"/>
          <w:numId w:val="1009"/>
        </w:numPr>
      </w:pPr>
      <w:r>
        <w:t xml:space="preserve">The pace of share repurchases following Q1’s $40 million.</w:t>
      </w:r>
    </w:p>
    <w:p>
      <w:pPr>
        <w:pStyle w:val="Compact"/>
        <w:numPr>
          <w:ilvl w:val="0"/>
          <w:numId w:val="1009"/>
        </w:numPr>
      </w:pPr>
      <w:r>
        <w:t xml:space="preserve">Any change to the 60% payout target.</w:t>
      </w:r>
    </w:p>
    <w:p>
      <w:pPr>
        <w:pStyle w:val="Compact"/>
        <w:numPr>
          <w:ilvl w:val="0"/>
          <w:numId w:val="1009"/>
        </w:numPr>
      </w:pPr>
      <w:r>
        <w:t xml:space="preserve">Commentary on balancing buybacks against debt reduction.</w:t>
      </w:r>
    </w:p>
    <w:p>
      <w:r>
        <w:pict>
          <v:rect style="width:0;height:1.5pt" o:hralign="center" o:hrstd="t" o:hr="t"/>
        </w:pict>
      </w:r>
    </w:p>
    <w:bookmarkEnd w:id="26"/>
    <w:bookmarkEnd w:id="27"/>
    <w:bookmarkStart w:id="31" w:name="bull-base-and-bear-scorecard"/>
    <w:p>
      <w:pPr>
        <w:pStyle w:val="Heading2"/>
      </w:pPr>
      <w:r>
        <w:t xml:space="preserve">Bull, base and bear scorecard</w:t>
      </w:r>
    </w:p>
    <w:bookmarkStart w:id="28" w:name="bullish-report"/>
    <w:p>
      <w:pPr>
        <w:pStyle w:val="Heading3"/>
      </w:pPr>
      <w:r>
        <w:t xml:space="preserve">Bullish report</w:t>
      </w:r>
    </w:p>
    <w:p>
      <w:pPr>
        <w:pStyle w:val="Compact"/>
        <w:numPr>
          <w:ilvl w:val="0"/>
          <w:numId w:val="1010"/>
        </w:numPr>
      </w:pPr>
      <w:r>
        <w:t xml:space="preserve">Adjusted EPS of</w:t>
      </w:r>
      <w:r>
        <w:t xml:space="preserve"> </w:t>
      </w:r>
      <w:r>
        <w:rPr>
          <w:b/>
          <w:bCs/>
        </w:rPr>
        <w:t xml:space="preserve">$0.68 or better</w:t>
      </w:r>
      <w:r>
        <w:t xml:space="preserve">.</w:t>
      </w:r>
    </w:p>
    <w:p>
      <w:pPr>
        <w:pStyle w:val="Compact"/>
        <w:numPr>
          <w:ilvl w:val="0"/>
          <w:numId w:val="1010"/>
        </w:numPr>
      </w:pPr>
      <w:r>
        <w:t xml:space="preserve">Revenue at or above the upper end of published expectations.</w:t>
      </w:r>
    </w:p>
    <w:p>
      <w:pPr>
        <w:pStyle w:val="Compact"/>
        <w:numPr>
          <w:ilvl w:val="0"/>
          <w:numId w:val="1010"/>
        </w:numPr>
      </w:pPr>
      <w:r>
        <w:t xml:space="preserve">Net revenue yield near Q1 levels.</w:t>
      </w:r>
    </w:p>
    <w:p>
      <w:pPr>
        <w:pStyle w:val="Compact"/>
        <w:numPr>
          <w:ilvl w:val="0"/>
          <w:numId w:val="1010"/>
        </w:numPr>
      </w:pPr>
      <w:r>
        <w:t xml:space="preserve">Adjusted margin approaching or exceeding 38%.</w:t>
      </w:r>
    </w:p>
    <w:p>
      <w:pPr>
        <w:pStyle w:val="Compact"/>
        <w:numPr>
          <w:ilvl w:val="0"/>
          <w:numId w:val="1010"/>
        </w:numPr>
      </w:pPr>
      <w:r>
        <w:t xml:space="preserve">Broad active and passive inflows.</w:t>
      </w:r>
    </w:p>
    <w:p>
      <w:pPr>
        <w:pStyle w:val="Compact"/>
        <w:numPr>
          <w:ilvl w:val="0"/>
          <w:numId w:val="1010"/>
        </w:numPr>
      </w:pPr>
      <w:r>
        <w:t xml:space="preserve">Expense guidance maintained despite higher AUM.</w:t>
      </w:r>
    </w:p>
    <w:p>
      <w:pPr>
        <w:pStyle w:val="Compact"/>
        <w:numPr>
          <w:ilvl w:val="0"/>
          <w:numId w:val="1010"/>
        </w:numPr>
      </w:pPr>
      <w:r>
        <w:t xml:space="preserve">Accelerating debt repayment and buybacks.</w:t>
      </w:r>
    </w:p>
    <w:bookmarkEnd w:id="28"/>
    <w:bookmarkStart w:id="29" w:name="acceptablebase-case-report"/>
    <w:p>
      <w:pPr>
        <w:pStyle w:val="Heading3"/>
      </w:pPr>
      <w:r>
        <w:t xml:space="preserve">Acceptable/base-case report</w:t>
      </w:r>
    </w:p>
    <w:p>
      <w:pPr>
        <w:pStyle w:val="Compact"/>
        <w:numPr>
          <w:ilvl w:val="0"/>
          <w:numId w:val="1011"/>
        </w:numPr>
      </w:pPr>
      <w:r>
        <w:t xml:space="preserve">Adjusted EPS around</w:t>
      </w:r>
      <w:r>
        <w:t xml:space="preserve"> </w:t>
      </w:r>
      <m:oMath>
        <m:r>
          <m:t>0.65</m:t>
        </m:r>
        <m:r>
          <m:rPr>
            <m:sty m:val="p"/>
          </m:rPr>
          <m:t>–</m:t>
        </m:r>
      </m:oMath>
      <w:r>
        <w:rPr>
          <w:b/>
          <w:bCs/>
        </w:rPr>
        <w:t xml:space="preserve">0.67</w:t>
      </w:r>
      <w:r>
        <w:t xml:space="preserve">.</w:t>
      </w:r>
    </w:p>
    <w:p>
      <w:pPr>
        <w:pStyle w:val="Compact"/>
        <w:numPr>
          <w:ilvl w:val="0"/>
          <w:numId w:val="1011"/>
        </w:numPr>
      </w:pPr>
      <w:r>
        <w:t xml:space="preserve">Revenue around $1.30 billion.</w:t>
      </w:r>
    </w:p>
    <w:p>
      <w:pPr>
        <w:pStyle w:val="Compact"/>
        <w:numPr>
          <w:ilvl w:val="0"/>
          <w:numId w:val="1011"/>
        </w:numPr>
      </w:pPr>
      <w:r>
        <w:t xml:space="preserve">Some revenue-yield compression offset by higher average assets.</w:t>
      </w:r>
    </w:p>
    <w:p>
      <w:pPr>
        <w:pStyle w:val="Compact"/>
        <w:numPr>
          <w:ilvl w:val="0"/>
          <w:numId w:val="1011"/>
        </w:numPr>
      </w:pPr>
      <w:r>
        <w:t xml:space="preserve">Adjusted margin of roughly 36%–37%.</w:t>
      </w:r>
    </w:p>
    <w:p>
      <w:pPr>
        <w:pStyle w:val="Compact"/>
        <w:numPr>
          <w:ilvl w:val="0"/>
          <w:numId w:val="1011"/>
        </w:numPr>
      </w:pPr>
      <w:r>
        <w:t xml:space="preserve">Positive but moderating flow commentary.</w:t>
      </w:r>
    </w:p>
    <w:p>
      <w:pPr>
        <w:pStyle w:val="Compact"/>
        <w:numPr>
          <w:ilvl w:val="0"/>
          <w:numId w:val="1011"/>
        </w:numPr>
      </w:pPr>
      <w:r>
        <w:t xml:space="preserve">Expense guidance increased only for revenue-linked costs.</w:t>
      </w:r>
    </w:p>
    <w:bookmarkEnd w:id="29"/>
    <w:bookmarkStart w:id="30" w:name="bearish-report"/>
    <w:p>
      <w:pPr>
        <w:pStyle w:val="Heading3"/>
      </w:pPr>
      <w:r>
        <w:t xml:space="preserve">Bearish report</w:t>
      </w:r>
    </w:p>
    <w:p>
      <w:pPr>
        <w:pStyle w:val="Compact"/>
        <w:numPr>
          <w:ilvl w:val="0"/>
          <w:numId w:val="1012"/>
        </w:numPr>
      </w:pPr>
      <w:r>
        <w:t xml:space="preserve">Adjusted EPS below approximately $0.62.</w:t>
      </w:r>
    </w:p>
    <w:p>
      <w:pPr>
        <w:pStyle w:val="Compact"/>
        <w:numPr>
          <w:ilvl w:val="0"/>
          <w:numId w:val="1012"/>
        </w:numPr>
      </w:pPr>
      <w:r>
        <w:t xml:space="preserve">Significant net revenue-yield compression.</w:t>
      </w:r>
    </w:p>
    <w:p>
      <w:pPr>
        <w:pStyle w:val="Compact"/>
        <w:numPr>
          <w:ilvl w:val="0"/>
          <w:numId w:val="1012"/>
        </w:numPr>
      </w:pPr>
      <w:r>
        <w:t xml:space="preserve">Adjusted margin remaining close to Q1 despite lower seasonal costs.</w:t>
      </w:r>
    </w:p>
    <w:p>
      <w:pPr>
        <w:pStyle w:val="Compact"/>
        <w:numPr>
          <w:ilvl w:val="0"/>
          <w:numId w:val="1012"/>
        </w:numPr>
      </w:pPr>
      <w:r>
        <w:t xml:space="preserve">Growth concentrated in low-fee products and money markets.</w:t>
      </w:r>
    </w:p>
    <w:p>
      <w:pPr>
        <w:pStyle w:val="Compact"/>
        <w:numPr>
          <w:ilvl w:val="0"/>
          <w:numId w:val="1012"/>
        </w:numPr>
      </w:pPr>
      <w:r>
        <w:t xml:space="preserve">Renewed active-equity outflows or weaker China economics.</w:t>
      </w:r>
    </w:p>
    <w:p>
      <w:pPr>
        <w:pStyle w:val="Compact"/>
        <w:numPr>
          <w:ilvl w:val="0"/>
          <w:numId w:val="1012"/>
        </w:numPr>
      </w:pPr>
      <w:r>
        <w:t xml:space="preserve">Higher fixed expenses, delayed platform savings or limited balance-sheet progress.</w:t>
      </w:r>
    </w:p>
    <w:p>
      <w:r>
        <w:pict>
          <v:rect style="width:0;height:1.5pt" o:hralign="center" o:hrstd="t" o:hr="t"/>
        </w:pict>
      </w:r>
    </w:p>
    <w:bookmarkEnd w:id="30"/>
    <w:bookmarkEnd w:id="31"/>
    <w:bookmarkStart w:id="32" w:name="bottom-line"/>
    <w:p>
      <w:pPr>
        <w:pStyle w:val="Heading2"/>
      </w:pPr>
      <w:r>
        <w:t xml:space="preserve">Bottom line</w:t>
      </w:r>
    </w:p>
    <w:p>
      <w:pPr>
        <w:pStyle w:val="FirstParagraph"/>
      </w:pPr>
      <w:r>
        <w:t xml:space="preserve">The preannounced asset data make Q2 look strong on the surface: record ending AUM, average AUM up nearly 7% sequentially and approximately $45 billion of long-term inflows.</w:t>
      </w:r>
    </w:p>
    <w:p>
      <w:pPr>
        <w:pStyle w:val="BodyText"/>
      </w:pPr>
      <w:r>
        <w:t xml:space="preserve">But expectations have also risen—IVZ closed at $30.12 on July 27, approximately 24% above its March 31 close. Consequently, merely meeting EPS consensus may not be enough.</w:t>
      </w:r>
    </w:p>
    <w:p>
      <w:pPr>
        <w:pStyle w:val="BodyText"/>
      </w:pPr>
      <w:r>
        <w:t xml:space="preserve">The best outcome would combine</w:t>
      </w:r>
      <w:r>
        <w:t xml:space="preserve"> </w:t>
      </w:r>
      <w:r>
        <w:rPr>
          <w:b/>
          <w:bCs/>
        </w:rPr>
        <w:t xml:space="preserve">stable fee yield, margin expansion, broad organic growth and disciplined expenses</w:t>
      </w:r>
      <w:r>
        <w:t xml:space="preserve">. The principal risk is that exceptional AUM growth proves less profitable than it appears because of passive-product mix, fee compression and higher variable or platform-related costs. For this report, the</w:t>
      </w:r>
      <w:r>
        <w:t xml:space="preserve"> </w:t>
      </w:r>
      <w:r>
        <w:rPr>
          <w:b/>
          <w:bCs/>
        </w:rPr>
        <w:t xml:space="preserve">adjusted operating margin and revenue yield are likely to be more informative than the headline EPS number alone</w:t>
      </w:r>
      <w:r>
        <w:t xml:space="preserve">.</w:t>
      </w:r>
    </w:p>
    <w:bookmarkEnd w:id="32"/>
    <w:bookmarkEnd w:id="3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https://www.invesco.com/corporate/en/home.html?utm_source=openai" TargetMode="External" /><Relationship Type="http://schemas.openxmlformats.org/officeDocument/2006/relationships/hyperlink" Id="rId17" Target="https://www.sec.gov/Archives/edgar/data/914208/000091420826000102/ivzpressrelease1q2026.htm?utm_source=openai" TargetMode="External" /><Relationship Type="http://schemas.openxmlformats.org/officeDocument/2006/relationships/hyperlink" Id="rId13" Target="https://www.sec.gov/Archives/edgar/data/914208/000091420826000191/ivzaumexhibit991-0426.htm?utm_source=openai" TargetMode="External" /><Relationship Type="http://schemas.openxmlformats.org/officeDocument/2006/relationships/hyperlink" Id="rId14" Target="https://www.sec.gov/Archives/edgar/data/914208/000091420826000207/ivzaumexhibit991-0626.htm?utm_source=openai" TargetMode="External" /><Relationship Type="http://schemas.openxmlformats.org/officeDocument/2006/relationships/hyperlink" Id="rId11" Target="https://www.tipranks.com/stocks/ivz/earnings?utm_source=openai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https://www.invesco.com/corporate/en/home.html?utm_source=openai" TargetMode="External" /><Relationship Type="http://schemas.openxmlformats.org/officeDocument/2006/relationships/hyperlink" Id="rId17" Target="https://www.sec.gov/Archives/edgar/data/914208/000091420826000102/ivzpressrelease1q2026.htm?utm_source=openai" TargetMode="External" /><Relationship Type="http://schemas.openxmlformats.org/officeDocument/2006/relationships/hyperlink" Id="rId13" Target="https://www.sec.gov/Archives/edgar/data/914208/000091420826000191/ivzaumexhibit991-0426.htm?utm_source=openai" TargetMode="External" /><Relationship Type="http://schemas.openxmlformats.org/officeDocument/2006/relationships/hyperlink" Id="rId14" Target="https://www.sec.gov/Archives/edgar/data/914208/000091420826000207/ivzaumexhibit991-0626.htm?utm_source=openai" TargetMode="External" /><Relationship Type="http://schemas.openxmlformats.org/officeDocument/2006/relationships/hyperlink" Id="rId11" Target="https://www.tipranks.com/stocks/ivz/earnings?utm_source=openai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2026-07-28T00:36:56Z</dcterms:created>
  <dcterms:modified xsi:type="dcterms:W3CDTF">2026-07-28T00:36:56Z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