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vesco-nyse-ivz--2q26-earnings-preview"/>
    <w:p>
      <w:pPr>
        <w:pStyle w:val="Heading1"/>
      </w:pPr>
      <w:r>
        <w:t xml:space="preserve">Invesco (NYSE: IVZ) — 2Q26 Earnings Preview</w:t>
      </w:r>
    </w:p>
    <w:p>
      <w:pPr>
        <w:pStyle w:val="BlockText"/>
      </w:pPr>
      <w:r>
        <w:rPr>
          <w:b/>
          <w:bCs/>
        </w:rPr>
        <w:t xml:space="preserve">Calendar note:</w:t>
      </w:r>
      <w:r>
        <w:t xml:space="preserve"> </w:t>
      </w:r>
      <w:r>
        <w:t xml:space="preserve">July 28, 2026 is</w:t>
      </w:r>
      <w:r>
        <w:t xml:space="preserve"> </w:t>
      </w:r>
      <w:r>
        <w:rPr>
          <w:b/>
          <w:bCs/>
        </w:rPr>
        <w:t xml:space="preserve">today</w:t>
      </w:r>
      <w:r>
        <w:t xml:space="preserve">, not tomorrow. The supplied event date is July 28, so this preview treats IVZ as reporting imminently / after the close today.</w:t>
      </w:r>
    </w:p>
    <w:bookmarkStart w:id="9" w:name="X7215a414711738d82f3a86e56959c063a006464"/>
    <w:p>
      <w:pPr>
        <w:pStyle w:val="Heading2"/>
      </w:pPr>
      <w:r>
        <w:t xml:space="preserve">Investment view: earnings should validate a much stronger AUM and revenue setup</w:t>
      </w:r>
    </w:p>
    <w:p>
      <w:pPr>
        <w:pStyle w:val="FirstParagraph"/>
      </w:pPr>
      <w:r>
        <w:t xml:space="preserve">The key question into Invesco’s 2Q26 report is less about whether assets recovered—they clearly did—and more about</w:t>
      </w:r>
      <w:r>
        <w:t xml:space="preserve"> </w:t>
      </w:r>
      <w:r>
        <w:rPr>
          <w:b/>
          <w:bCs/>
        </w:rPr>
        <w:t xml:space="preserve">how much of that recovery converted into net revenue, margins, and sustainable organic growth</w:t>
      </w:r>
      <w:r>
        <w:t xml:space="preserve">.</w:t>
      </w:r>
    </w:p>
    <w:p>
      <w:pPr>
        <w:pStyle w:val="BodyText"/>
      </w:pPr>
      <w:r>
        <w:t xml:space="preserve">IVZ enters the quarter with a substantially improved AUM base. Preliminary June-ending AUM was</w:t>
      </w:r>
      <w:r>
        <w:t xml:space="preserve"> </w:t>
      </w:r>
      <m:oMath>
        <m:r>
          <m:t>2.47</m:t>
        </m:r>
        <m:r>
          <m:t>t</m:t>
        </m:r>
        <m:r>
          <m:t>r</m:t>
        </m:r>
        <m:r>
          <m:t>i</m:t>
        </m:r>
        <m:r>
          <m:t>l</m:t>
        </m:r>
        <m:r>
          <m:t>l</m:t>
        </m:r>
        <m:r>
          <m:t>i</m:t>
        </m:r>
        <m:r>
          <m:t>o</m:t>
        </m:r>
        <m:r>
          <m:t>n</m:t>
        </m:r>
        <m:r>
          <m:rPr>
            <m:sty m:val="p"/>
          </m:rPr>
          <m:t>*</m:t>
        </m:r>
        <m:r>
          <m:rPr>
            <m:sty m:val="p"/>
          </m:rPr>
          <m:t>*</m:t>
        </m:r>
        <m:r>
          <m:rPr>
            <m:sty m:val="p"/>
          </m:rPr>
          <m:t>,</m:t>
        </m:r>
        <m:r>
          <m:t>u</m:t>
        </m:r>
        <m:r>
          <m:t>p</m:t>
        </m:r>
        <m:r>
          <m:t>f</m:t>
        </m:r>
        <m:r>
          <m:t>r</m:t>
        </m:r>
        <m:r>
          <m:t>o</m:t>
        </m:r>
        <m:r>
          <m:t>m</m:t>
        </m:r>
        <m:r>
          <m:rPr>
            <m:sty m:val="p"/>
          </m:rPr>
          <m:t>*</m:t>
        </m:r>
        <m:r>
          <m:rPr>
            <m:sty m:val="p"/>
          </m:rPr>
          <m:t>*</m:t>
        </m:r>
      </m:oMath>
      <w:r>
        <w:rPr>
          <w:b/>
          <w:bCs/>
        </w:rPr>
        <w:t xml:space="preserve">2.16 trillion at March 31</w:t>
      </w:r>
      <w:r>
        <w:t xml:space="preserve">, while preliminary</w:t>
      </w:r>
      <w:r>
        <w:t xml:space="preserve"> </w:t>
      </w:r>
      <w:r>
        <w:rPr>
          <w:b/>
          <w:bCs/>
        </w:rPr>
        <w:t xml:space="preserve">average 2Q AUM was $2.37 trillion</w:t>
      </w:r>
      <w:r>
        <w:t xml:space="preserve">, roughly 7% above 1Q’s $2.22 trillion. That is a favorable setup for management fees and should support year-over-year earnings growth. The higher AUM level is particularly encouraging because it was broad-based across QQQ, ETFs/index, China JV, and liquidity products.</w:t>
      </w:r>
    </w:p>
    <w:p>
      <w:pPr>
        <w:pStyle w:val="BodyText"/>
      </w:pPr>
      <w:r>
        <w:t xml:space="preserve">However, IVZ’s stock has already reflected part of the improved setup: shares rose from</w:t>
      </w:r>
      <w:r>
        <w:t xml:space="preserve"> </w:t>
      </w:r>
      <m:oMath>
        <m:r>
          <m:t>25.86</m:t>
        </m:r>
        <m:r>
          <m:t>o</m:t>
        </m:r>
        <m:r>
          <m:t>n</m:t>
        </m:r>
        <m:r>
          <m:t>A</m:t>
        </m:r>
        <m:r>
          <m:t>p</m:t>
        </m:r>
        <m:r>
          <m:t>r</m:t>
        </m:r>
        <m:r>
          <m:t>i</m:t>
        </m:r>
        <m:r>
          <m:t>l</m:t>
        </m:r>
        <m:r>
          <m:t>28</m:t>
        </m:r>
        <m:r>
          <m:rPr>
            <m:sty m:val="p"/>
          </m:rPr>
          <m:t>*</m:t>
        </m:r>
        <m:r>
          <m:rPr>
            <m:sty m:val="p"/>
          </m:rPr>
          <m:t>*</m:t>
        </m:r>
        <m:r>
          <m:rPr>
            <m:sty m:val="p"/>
          </m:rPr>
          <m:t>—</m:t>
        </m:r>
        <m:r>
          <m:t>t</m:t>
        </m:r>
        <m:r>
          <m:t>h</m:t>
        </m:r>
        <m:r>
          <m:t>e</m:t>
        </m:r>
        <m:r>
          <m:t>d</m:t>
        </m:r>
        <m:r>
          <m:t>a</m:t>
        </m:r>
        <m:r>
          <m:t>t</m:t>
        </m:r>
        <m:r>
          <m:t>e</m:t>
        </m:r>
        <m:r>
          <m:t>o</m:t>
        </m:r>
        <m:r>
          <m:t>f</m:t>
        </m:r>
        <m:r>
          <m:t>t</m:t>
        </m:r>
        <m:r>
          <m:t>h</m:t>
        </m:r>
        <m:r>
          <m:t>e</m:t>
        </m:r>
        <m:r>
          <m:t>1</m:t>
        </m:r>
        <m:r>
          <m:t>Q</m:t>
        </m:r>
        <m:r>
          <m:t>r</m:t>
        </m:r>
        <m:r>
          <m:t>e</m:t>
        </m:r>
        <m:r>
          <m:t>l</m:t>
        </m:r>
        <m:r>
          <m:t>e</m:t>
        </m:r>
        <m:r>
          <m:t>a</m:t>
        </m:r>
        <m:r>
          <m:t>s</m:t>
        </m:r>
        <m:r>
          <m:t>e</m:t>
        </m:r>
        <m:r>
          <m:rPr>
            <m:sty m:val="p"/>
          </m:rPr>
          <m:t>—</m:t>
        </m:r>
        <m:r>
          <m:t>t</m:t>
        </m:r>
        <m:r>
          <m:t>o</m:t>
        </m:r>
        <m:r>
          <m:rPr>
            <m:sty m:val="p"/>
          </m:rPr>
          <m:t>*</m:t>
        </m:r>
        <m:r>
          <m:rPr>
            <m:sty m:val="p"/>
          </m:rPr>
          <m:t>*</m:t>
        </m:r>
      </m:oMath>
      <w:r>
        <w:rPr>
          <w:b/>
          <w:bCs/>
        </w:rPr>
        <w:t xml:space="preserve">30.12 on July 27</w:t>
      </w:r>
      <w:r>
        <w:t xml:space="preserve">, a gain of roughly 16%. As a result, the market will likely require more than an EPS beat: it will want evidence that</w:t>
      </w:r>
      <w:r>
        <w:t xml:space="preserve"> </w:t>
      </w:r>
      <w:r>
        <w:rPr>
          <w:b/>
          <w:bCs/>
        </w:rPr>
        <w:t xml:space="preserve">flows remain positive, fee-rate pressure is contained, margins are advancing, and QQQ’s competitive moat is intact.</w:t>
      </w:r>
    </w:p>
    <w:bookmarkEnd w:id="9"/>
    <w:bookmarkStart w:id="15" w:name="what-matters-most"/>
    <w:p>
      <w:pPr>
        <w:pStyle w:val="Heading2"/>
      </w:pPr>
      <w:r>
        <w:t xml:space="preserve">What matters most</w:t>
      </w:r>
    </w:p>
    <w:bookmarkStart w:id="10" w:name="X5b9470c949c158729fba7a3e18ce22d311827fb"/>
    <w:p>
      <w:pPr>
        <w:pStyle w:val="Heading3"/>
      </w:pPr>
      <w:r>
        <w:t xml:space="preserve">1. AUM: a very favorable starting point</w:t>
      </w:r>
    </w:p>
    <w:p>
      <w:pPr>
        <w:pStyle w:val="FirstParagraph"/>
      </w:pPr>
      <w:r>
        <w:t xml:space="preserve">Invesco reported June-ending AUM of</w:t>
      </w:r>
      <w:r>
        <w:t xml:space="preserve"> </w:t>
      </w:r>
      <w:r>
        <w:rPr>
          <w:b/>
          <w:bCs/>
        </w:rPr>
        <w:t xml:space="preserve">$2.47 trillion</w:t>
      </w:r>
      <w:r>
        <w:t xml:space="preserve">, up</w:t>
      </w:r>
      <w:r>
        <w:t xml:space="preserve"> </w:t>
      </w:r>
      <w:r>
        <w:rPr>
          <w:b/>
          <w:bCs/>
        </w:rPr>
        <w:t xml:space="preserve">14% from March 31</w:t>
      </w:r>
      <w:r>
        <w:t xml:space="preserve">. AUM increased across nearly every major business line: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AUM, $bn</w:t>
            </w:r>
          </w:p>
        </w:tc>
        <w:tc>
          <w:tcPr/>
          <w:p>
            <w:pPr>
              <w:pStyle w:val="Compact"/>
              <w:jc w:val="right"/>
            </w:pPr>
            <w:r>
              <w:t xml:space="preserve">Mar. 31, 2026</w:t>
            </w:r>
          </w:p>
        </w:tc>
        <w:tc>
          <w:tcPr/>
          <w:p>
            <w:pPr>
              <w:pStyle w:val="Compact"/>
              <w:jc w:val="right"/>
            </w:pPr>
            <w:r>
              <w:t xml:space="preserve">Jun. 30, 2026</w:t>
            </w:r>
          </w:p>
        </w:tc>
        <w:tc>
          <w:tcPr/>
          <w:p>
            <w:pPr>
              <w:pStyle w:val="Compact"/>
              <w:jc w:val="right"/>
            </w:pPr>
            <w:r>
              <w:t xml:space="preserve">Change</w:t>
            </w:r>
          </w:p>
        </w:tc>
      </w:tr>
      <w:tr>
        <w:tc>
          <w:tcPr/>
          <w:p>
            <w:pPr>
              <w:pStyle w:val="Compact"/>
            </w:pPr>
            <w:r>
              <w:t xml:space="preserve">Total AUM</w:t>
            </w:r>
          </w:p>
        </w:tc>
        <w:tc>
          <w:tcPr/>
          <w:p>
            <w:pPr>
              <w:pStyle w:val="Compact"/>
              <w:jc w:val="right"/>
            </w:pPr>
            <w:r>
              <w:t xml:space="preserve">2,159.5</w:t>
            </w:r>
          </w:p>
        </w:tc>
        <w:tc>
          <w:tcPr/>
          <w:p>
            <w:pPr>
              <w:pStyle w:val="Compact"/>
              <w:jc w:val="right"/>
            </w:pPr>
            <w:r>
              <w:t xml:space="preserve">2,470.3</w:t>
            </w:r>
          </w:p>
        </w:tc>
        <w:tc>
          <w:tcPr/>
          <w:p>
            <w:pPr>
              <w:pStyle w:val="Compact"/>
              <w:jc w:val="right"/>
            </w:pPr>
            <w:r>
              <w:t xml:space="preserve">+14%</w:t>
            </w:r>
          </w:p>
        </w:tc>
      </w:tr>
      <w:tr>
        <w:tc>
          <w:tcPr/>
          <w:p>
            <w:pPr>
              <w:pStyle w:val="Compact"/>
            </w:pPr>
            <w:r>
              <w:t xml:space="preserve">ETFs &amp; Index Strategies</w:t>
            </w:r>
          </w:p>
        </w:tc>
        <w:tc>
          <w:tcPr/>
          <w:p>
            <w:pPr>
              <w:pStyle w:val="Compact"/>
              <w:jc w:val="right"/>
            </w:pPr>
            <w:r>
              <w:t xml:space="preserve">638.3</w:t>
            </w:r>
          </w:p>
        </w:tc>
        <w:tc>
          <w:tcPr/>
          <w:p>
            <w:pPr>
              <w:pStyle w:val="Compact"/>
              <w:jc w:val="right"/>
            </w:pPr>
            <w:r>
              <w:t xml:space="preserve">753.5</w:t>
            </w:r>
          </w:p>
        </w:tc>
        <w:tc>
          <w:tcPr/>
          <w:p>
            <w:pPr>
              <w:pStyle w:val="Compact"/>
              <w:jc w:val="right"/>
            </w:pPr>
            <w:r>
              <w:t xml:space="preserve">+18%</w:t>
            </w:r>
          </w:p>
        </w:tc>
      </w:tr>
      <w:tr>
        <w:tc>
          <w:tcPr/>
          <w:p>
            <w:pPr>
              <w:pStyle w:val="Compact"/>
            </w:pPr>
            <w:r>
              <w:t xml:space="preserve">QQQ</w:t>
            </w:r>
          </w:p>
        </w:tc>
        <w:tc>
          <w:tcPr/>
          <w:p>
            <w:pPr>
              <w:pStyle w:val="Compact"/>
              <w:jc w:val="right"/>
            </w:pPr>
            <w:r>
              <w:t xml:space="preserve">372.5</w:t>
            </w:r>
          </w:p>
        </w:tc>
        <w:tc>
          <w:tcPr/>
          <w:p>
            <w:pPr>
              <w:pStyle w:val="Compact"/>
              <w:jc w:val="right"/>
            </w:pPr>
            <w:r>
              <w:t xml:space="preserve">490.1</w:t>
            </w:r>
          </w:p>
        </w:tc>
        <w:tc>
          <w:tcPr/>
          <w:p>
            <w:pPr>
              <w:pStyle w:val="Compact"/>
              <w:jc w:val="right"/>
            </w:pPr>
            <w:r>
              <w:t xml:space="preserve">+32%</w:t>
            </w:r>
          </w:p>
        </w:tc>
      </w:tr>
      <w:tr>
        <w:tc>
          <w:tcPr/>
          <w:p>
            <w:pPr>
              <w:pStyle w:val="Compact"/>
            </w:pPr>
            <w:r>
              <w:t xml:space="preserve">China JV</w:t>
            </w:r>
          </w:p>
        </w:tc>
        <w:tc>
          <w:tcPr/>
          <w:p>
            <w:pPr>
              <w:pStyle w:val="Compact"/>
              <w:jc w:val="right"/>
            </w:pPr>
            <w:r>
              <w:t xml:space="preserve">141.9</w:t>
            </w:r>
          </w:p>
        </w:tc>
        <w:tc>
          <w:tcPr/>
          <w:p>
            <w:pPr>
              <w:pStyle w:val="Compact"/>
              <w:jc w:val="right"/>
            </w:pPr>
            <w:r>
              <w:t xml:space="preserve">163.2</w:t>
            </w:r>
          </w:p>
        </w:tc>
        <w:tc>
          <w:tcPr/>
          <w:p>
            <w:pPr>
              <w:pStyle w:val="Compact"/>
              <w:jc w:val="right"/>
            </w:pPr>
            <w:r>
              <w:t xml:space="preserve">+15%</w:t>
            </w:r>
          </w:p>
        </w:tc>
      </w:tr>
      <w:tr>
        <w:tc>
          <w:tcPr/>
          <w:p>
            <w:pPr>
              <w:pStyle w:val="Compact"/>
            </w:pPr>
            <w:r>
              <w:t xml:space="preserve">Fundamental Equities</w:t>
            </w:r>
          </w:p>
        </w:tc>
        <w:tc>
          <w:tcPr/>
          <w:p>
            <w:pPr>
              <w:pStyle w:val="Compact"/>
              <w:jc w:val="right"/>
            </w:pPr>
            <w:r>
              <w:t xml:space="preserve">287.7</w:t>
            </w:r>
          </w:p>
        </w:tc>
        <w:tc>
          <w:tcPr/>
          <w:p>
            <w:pPr>
              <w:pStyle w:val="Compact"/>
              <w:jc w:val="right"/>
            </w:pPr>
            <w:r>
              <w:t xml:space="preserve">318.1</w:t>
            </w:r>
          </w:p>
        </w:tc>
        <w:tc>
          <w:tcPr/>
          <w:p>
            <w:pPr>
              <w:pStyle w:val="Compact"/>
              <w:jc w:val="right"/>
            </w:pPr>
            <w:r>
              <w:t xml:space="preserve">+11%</w:t>
            </w:r>
          </w:p>
        </w:tc>
      </w:tr>
      <w:tr>
        <w:tc>
          <w:tcPr/>
          <w:p>
            <w:pPr>
              <w:pStyle w:val="Compact"/>
            </w:pPr>
            <w:r>
              <w:t xml:space="preserve">Global Liquidity</w:t>
            </w:r>
          </w:p>
        </w:tc>
        <w:tc>
          <w:tcPr/>
          <w:p>
            <w:pPr>
              <w:pStyle w:val="Compact"/>
              <w:jc w:val="right"/>
            </w:pPr>
            <w:r>
              <w:t xml:space="preserve">201.2</w:t>
            </w:r>
          </w:p>
        </w:tc>
        <w:tc>
          <w:tcPr/>
          <w:p>
            <w:pPr>
              <w:pStyle w:val="Compact"/>
              <w:jc w:val="right"/>
            </w:pPr>
            <w:r>
              <w:t xml:space="preserve">214.5</w:t>
            </w:r>
          </w:p>
        </w:tc>
        <w:tc>
          <w:tcPr/>
          <w:p>
            <w:pPr>
              <w:pStyle w:val="Compact"/>
              <w:jc w:val="right"/>
            </w:pPr>
            <w:r>
              <w:t xml:space="preserve">+7%</w:t>
            </w:r>
          </w:p>
        </w:tc>
      </w:tr>
    </w:tbl>
    <w:p>
      <w:pPr>
        <w:pStyle w:val="BodyText"/>
      </w:pPr>
      <w:r>
        <w:t xml:space="preserve">The most consequential component is</w:t>
      </w:r>
      <w:r>
        <w:t xml:space="preserve"> </w:t>
      </w:r>
      <w:r>
        <w:rPr>
          <w:b/>
          <w:bCs/>
        </w:rPr>
        <w:t xml:space="preserve">QQQ</w:t>
      </w:r>
      <w:r>
        <w:t xml:space="preserve">. Its conversion to an open-end ETF in late 2025 moved its economics into management-fee revenue, and the fund’s sharp AUM increase should be a meaningful driver of 2Q fee income. Investors should look for management’s updated commentary on QQQ flows, marketing expense, securities-lending opportunity, and the competitive implications of additional Nasdaq-100 ETF licenses.</w:t>
      </w:r>
    </w:p>
    <w:bookmarkEnd w:id="10"/>
    <w:bookmarkStart w:id="11" w:name="X9359d229ee800bec2961bcd78d7cfb18d73dc1a"/>
    <w:p>
      <w:pPr>
        <w:pStyle w:val="Heading3"/>
      </w:pPr>
      <w:r>
        <w:t xml:space="preserve">2. Flow quality—not merely ending AUM—will set the tone</w:t>
      </w:r>
    </w:p>
    <w:p>
      <w:pPr>
        <w:pStyle w:val="FirstParagraph"/>
      </w:pPr>
      <w:r>
        <w:t xml:space="preserve">June produced</w:t>
      </w:r>
      <w:r>
        <w:t xml:space="preserve"> </w:t>
      </w:r>
      <m:oMath>
        <m:r>
          <m:t>8.0</m:t>
        </m:r>
        <m:r>
          <m:t>b</m:t>
        </m:r>
        <m:r>
          <m:t>i</m:t>
        </m:r>
        <m:r>
          <m:t>l</m:t>
        </m:r>
        <m:r>
          <m:t>l</m:t>
        </m:r>
        <m:r>
          <m:t>i</m:t>
        </m:r>
        <m:r>
          <m:t>o</m:t>
        </m:r>
        <m:r>
          <m:t>n</m:t>
        </m:r>
        <m:r>
          <m:t>o</m:t>
        </m:r>
        <m:r>
          <m:t>f</m:t>
        </m:r>
        <m:r>
          <m:t>n</m:t>
        </m:r>
        <m:r>
          <m:t>e</m:t>
        </m:r>
        <m:r>
          <m:t>t</m:t>
        </m:r>
        <m:r>
          <m:t>l</m:t>
        </m:r>
        <m:r>
          <m:t>o</m:t>
        </m:r>
        <m:r>
          <m:t>n</m:t>
        </m:r>
        <m:r>
          <m:t>g</m:t>
        </m:r>
        <m:r>
          <m:rPr>
            <m:sty m:val="p"/>
          </m:rPr>
          <m:t>−</m:t>
        </m:r>
        <m:r>
          <m:t>t</m:t>
        </m:r>
        <m:r>
          <m:t>e</m:t>
        </m:r>
        <m:r>
          <m:t>r</m:t>
        </m:r>
        <m:r>
          <m:t>m</m:t>
        </m:r>
        <m:r>
          <m:t>i</m:t>
        </m:r>
        <m:r>
          <m:t>n</m:t>
        </m:r>
        <m:r>
          <m:t>f</m:t>
        </m:r>
        <m:r>
          <m:t>l</m:t>
        </m:r>
        <m:r>
          <m:t>o</m:t>
        </m:r>
        <m:r>
          <m:t>w</m:t>
        </m:r>
        <m:r>
          <m:t>s</m:t>
        </m:r>
        <m:r>
          <m:rPr>
            <m:sty m:val="p"/>
          </m:rPr>
          <m:t>*</m:t>
        </m:r>
        <m:r>
          <m:rPr>
            <m:sty m:val="p"/>
          </m:rPr>
          <m:t>*</m:t>
        </m:r>
        <m:r>
          <m:t>a</m:t>
        </m:r>
        <m:r>
          <m:t>n</m:t>
        </m:r>
        <m:r>
          <m:t>d</m:t>
        </m:r>
        <m:r>
          <m:rPr>
            <m:sty m:val="p"/>
          </m:rPr>
          <m:t>*</m:t>
        </m:r>
        <m:r>
          <m:rPr>
            <m:sty m:val="p"/>
          </m:rPr>
          <m:t>*</m:t>
        </m:r>
      </m:oMath>
      <w:r>
        <w:rPr>
          <w:b/>
          <w:bCs/>
        </w:rPr>
        <w:t xml:space="preserve">14.3 billion of money-market inflows</w:t>
      </w:r>
      <w:r>
        <w:t xml:space="preserve">. That is positive, but the quarterly flow composition will be crucial.</w:t>
      </w:r>
    </w:p>
    <w:p>
      <w:pPr>
        <w:pStyle w:val="BodyText"/>
      </w:pPr>
      <w:r>
        <w:t xml:space="preserve">In 1Q, Invesco delivered</w:t>
      </w:r>
      <w:r>
        <w:t xml:space="preserve"> </w:t>
      </w:r>
      <w:r>
        <w:rPr>
          <w:b/>
          <w:bCs/>
        </w:rPr>
        <w:t xml:space="preserve">$21.8 billion of long-term net inflows</w:t>
      </w:r>
      <w:r>
        <w:t xml:space="preserve">, its 11th consecutive quarter of positive organic growth. The mix was constructive: ETFs/index, China JV, fixed income, and multi-asset strategies more than offset QQQ and fundamental-equity outflows.</w:t>
      </w:r>
    </w:p>
    <w:p>
      <w:pPr>
        <w:pStyle w:val="BodyText"/>
      </w:pPr>
      <w:r>
        <w:t xml:space="preserve">For 2Q, investors should focus on:</w:t>
      </w:r>
    </w:p>
    <w:p>
      <w:pPr>
        <w:pStyle w:val="Compact"/>
        <w:numPr>
          <w:ilvl w:val="0"/>
          <w:numId w:val="1001"/>
        </w:numPr>
      </w:pPr>
      <w:r>
        <w:rPr>
          <w:b/>
          <w:bCs/>
        </w:rPr>
        <w:t xml:space="preserve">ETF and index flow durability.</w:t>
      </w:r>
      <w:r>
        <w:t xml:space="preserve"> </w:t>
      </w:r>
      <w:r>
        <w:t xml:space="preserve">This is Invesco’s primary scale engine, though it is generally lower fee than active products.</w:t>
      </w:r>
    </w:p>
    <w:p>
      <w:pPr>
        <w:pStyle w:val="Compact"/>
        <w:numPr>
          <w:ilvl w:val="0"/>
          <w:numId w:val="1001"/>
        </w:numPr>
      </w:pPr>
      <w:r>
        <w:rPr>
          <w:b/>
          <w:bCs/>
        </w:rPr>
        <w:t xml:space="preserve">QQQ net flows.</w:t>
      </w:r>
      <w:r>
        <w:t xml:space="preserve"> </w:t>
      </w:r>
      <w:r>
        <w:t xml:space="preserve">QQQ experienced 1Q outflows amid investor rotation, but management said flows had turned positive again in April. Confirmation of that trend would be important.</w:t>
      </w:r>
    </w:p>
    <w:p>
      <w:pPr>
        <w:pStyle w:val="Compact"/>
        <w:numPr>
          <w:ilvl w:val="0"/>
          <w:numId w:val="1001"/>
        </w:numPr>
      </w:pPr>
      <w:r>
        <w:rPr>
          <w:b/>
          <w:bCs/>
        </w:rPr>
        <w:t xml:space="preserve">China JV flows and margins.</w:t>
      </w:r>
      <w:r>
        <w:t xml:space="preserve"> </w:t>
      </w:r>
      <w:r>
        <w:t xml:space="preserve">China was a major 1Q contributor, with $8.7 billion of long-term net inflows. Continued momentum would reinforce IVZ’s differentiated international-growth narrative.</w:t>
      </w:r>
    </w:p>
    <w:p>
      <w:pPr>
        <w:pStyle w:val="Compact"/>
        <w:numPr>
          <w:ilvl w:val="0"/>
          <w:numId w:val="1001"/>
        </w:numPr>
      </w:pPr>
      <w:r>
        <w:rPr>
          <w:b/>
          <w:bCs/>
        </w:rPr>
        <w:t xml:space="preserve">Fixed-income and SMA demand.</w:t>
      </w:r>
      <w:r>
        <w:t xml:space="preserve"> </w:t>
      </w:r>
      <w:r>
        <w:t xml:space="preserve">These are strategically attractive areas, particularly as Invesco seeks to benefit from personalization, tax optimization, and income demand.</w:t>
      </w:r>
    </w:p>
    <w:p>
      <w:pPr>
        <w:pStyle w:val="Compact"/>
        <w:numPr>
          <w:ilvl w:val="0"/>
          <w:numId w:val="1001"/>
        </w:numPr>
      </w:pPr>
      <w:r>
        <w:rPr>
          <w:b/>
          <w:bCs/>
        </w:rPr>
        <w:t xml:space="preserve">Fundamental-equity redemptions.</w:t>
      </w:r>
      <w:r>
        <w:t xml:space="preserve"> </w:t>
      </w:r>
      <w:r>
        <w:t xml:space="preserve">1Q outflows were the lowest in nearly nine years; further improvement would help offset mix-related revenue-yield pressure.</w:t>
      </w:r>
    </w:p>
    <w:p>
      <w:pPr>
        <w:pStyle w:val="FirstParagraph"/>
      </w:pPr>
      <w:r>
        <w:t xml:space="preserve">A positive flow print concentrated in ETFs, QQQ, China JV, and fixed income would be the best outcome. Large money-market balances are beneficial for AUM but are less valuable than persistent long-term flows for the long-run earnings narrative.</w:t>
      </w:r>
    </w:p>
    <w:bookmarkEnd w:id="11"/>
    <w:bookmarkStart w:id="12" w:name="X10766082e72433663d2783ef27af8c034c6f565"/>
    <w:p>
      <w:pPr>
        <w:pStyle w:val="Heading3"/>
      </w:pPr>
      <w:r>
        <w:t xml:space="preserve">3. Revenue yield may matter as much as revenue growth</w:t>
      </w:r>
    </w:p>
    <w:p>
      <w:pPr>
        <w:pStyle w:val="FirstParagraph"/>
      </w:pPr>
      <w:r>
        <w:t xml:space="preserve">The 2Q average-AUM backdrop is clearly positive. But Invesco’s revenue conversion depends on mix.</w:t>
      </w:r>
    </w:p>
    <w:p>
      <w:pPr>
        <w:pStyle w:val="BodyText"/>
      </w:pPr>
      <w:r>
        <w:t xml:space="preserve">In 1Q, net revenue yield was</w:t>
      </w:r>
      <w:r>
        <w:t xml:space="preserve"> </w:t>
      </w:r>
      <w:r>
        <w:rPr>
          <w:b/>
          <w:bCs/>
        </w:rPr>
        <w:t xml:space="preserve">22.9 basis points</w:t>
      </w:r>
      <w:r>
        <w:t xml:space="preserve">, with an exit yield of</w:t>
      </w:r>
      <w:r>
        <w:t xml:space="preserve"> </w:t>
      </w:r>
      <w:r>
        <w:rPr>
          <w:b/>
          <w:bCs/>
        </w:rPr>
        <w:t xml:space="preserve">22.8 bps</w:t>
      </w:r>
      <w:r>
        <w:t xml:space="preserve">. Management characterized the long-running fee-yield decline as beginning to stabilize, though it also acknowledged that the future trajectory depends on asset mix.</w:t>
      </w:r>
    </w:p>
    <w:p>
      <w:pPr>
        <w:pStyle w:val="BodyText"/>
      </w:pPr>
      <w:r>
        <w:t xml:space="preserve">The setup is mixed:</w:t>
      </w:r>
    </w:p>
    <w:p>
      <w:pPr>
        <w:pStyle w:val="Compact"/>
        <w:numPr>
          <w:ilvl w:val="0"/>
          <w:numId w:val="1002"/>
        </w:numPr>
      </w:pPr>
      <w:r>
        <w:rPr>
          <w:b/>
          <w:bCs/>
        </w:rPr>
        <w:t xml:space="preserve">Positive:</w:t>
      </w:r>
      <w:r>
        <w:t xml:space="preserve"> </w:t>
      </w:r>
      <w:r>
        <w:t xml:space="preserve">QQQ is now a fee-earning product, average AUM is higher, and China JV economics remain attractive.</w:t>
      </w:r>
    </w:p>
    <w:p>
      <w:pPr>
        <w:pStyle w:val="Compact"/>
        <w:numPr>
          <w:ilvl w:val="0"/>
          <w:numId w:val="1002"/>
        </w:numPr>
      </w:pPr>
      <w:r>
        <w:rPr>
          <w:b/>
          <w:bCs/>
        </w:rPr>
        <w:t xml:space="preserve">Less favorable:</w:t>
      </w:r>
      <w:r>
        <w:t xml:space="preserve"> </w:t>
      </w:r>
      <w:r>
        <w:t xml:space="preserve">ETFs, index, fixed income, and liquidity are typically lower-fee than active equity strategies.</w:t>
      </w:r>
    </w:p>
    <w:p>
      <w:pPr>
        <w:pStyle w:val="Compact"/>
        <w:numPr>
          <w:ilvl w:val="0"/>
          <w:numId w:val="1002"/>
        </w:numPr>
      </w:pPr>
      <w:r>
        <w:rPr>
          <w:b/>
          <w:bCs/>
        </w:rPr>
        <w:t xml:space="preserve">Key debate:</w:t>
      </w:r>
      <w:r>
        <w:t xml:space="preserve"> </w:t>
      </w:r>
      <w:r>
        <w:t xml:space="preserve">Can scale, QQQ economics, and a more favorable mix within active strategies offset the industry-wide migration toward lower-fee vehicles?</w:t>
      </w:r>
    </w:p>
    <w:p>
      <w:pPr>
        <w:pStyle w:val="FirstParagraph"/>
      </w:pPr>
      <w:r>
        <w:t xml:space="preserve">A stable or improving net revenue yield would likely be viewed as a significant positive surprise. Conversely, strong AUM growth accompanied by yield compression would temper the earnings read-through.</w:t>
      </w:r>
    </w:p>
    <w:bookmarkEnd w:id="12"/>
    <w:bookmarkStart w:id="13" w:name="X252b6f25dcfb49005ed88edd899946ccc683b40"/>
    <w:p>
      <w:pPr>
        <w:pStyle w:val="Heading3"/>
      </w:pPr>
      <w:r>
        <w:t xml:space="preserve">4. Margin delivery and expense guidance are the core financial swing factors</w:t>
      </w:r>
    </w:p>
    <w:p>
      <w:pPr>
        <w:pStyle w:val="FirstParagraph"/>
      </w:pPr>
      <w:r>
        <w:t xml:space="preserve">In 1Q, IVZ reported:</w:t>
      </w:r>
    </w:p>
    <w:p>
      <w:pPr>
        <w:pStyle w:val="Compact"/>
        <w:numPr>
          <w:ilvl w:val="0"/>
          <w:numId w:val="1003"/>
        </w:numPr>
      </w:pPr>
      <w:r>
        <w:rPr>
          <w:b/>
          <w:bCs/>
        </w:rPr>
        <w:t xml:space="preserve">Adjusted net revenue:</w:t>
      </w:r>
      <w:r>
        <w:t xml:space="preserve"> </w:t>
      </w:r>
      <w:r>
        <w:t xml:space="preserve">$1.264 billion</w:t>
      </w:r>
    </w:p>
    <w:p>
      <w:pPr>
        <w:pStyle w:val="Compact"/>
        <w:numPr>
          <w:ilvl w:val="0"/>
          <w:numId w:val="1003"/>
        </w:numPr>
      </w:pPr>
      <w:r>
        <w:rPr>
          <w:b/>
          <w:bCs/>
        </w:rPr>
        <w:t xml:space="preserve">Adjusted operating income:</w:t>
      </w:r>
      <w:r>
        <w:t xml:space="preserve"> </w:t>
      </w:r>
      <w:r>
        <w:t xml:space="preserve">$436 million</w:t>
      </w:r>
    </w:p>
    <w:p>
      <w:pPr>
        <w:pStyle w:val="Compact"/>
        <w:numPr>
          <w:ilvl w:val="0"/>
          <w:numId w:val="1003"/>
        </w:numPr>
      </w:pPr>
      <w:r>
        <w:rPr>
          <w:b/>
          <w:bCs/>
        </w:rPr>
        <w:t xml:space="preserve">Adjusted operating margin:</w:t>
      </w:r>
      <w:r>
        <w:t xml:space="preserve"> </w:t>
      </w:r>
      <w:r>
        <w:t xml:space="preserve">34.5%</w:t>
      </w:r>
    </w:p>
    <w:p>
      <w:pPr>
        <w:pStyle w:val="Compact"/>
        <w:numPr>
          <w:ilvl w:val="0"/>
          <w:numId w:val="1003"/>
        </w:numPr>
      </w:pPr>
      <w:r>
        <w:rPr>
          <w:b/>
          <w:bCs/>
        </w:rPr>
        <w:t xml:space="preserve">Adjusted diluted EPS:</w:t>
      </w:r>
      <w:r>
        <w:t xml:space="preserve"> </w:t>
      </w:r>
      <w:r>
        <w:t xml:space="preserve">$0.57</w:t>
      </w:r>
    </w:p>
    <w:p>
      <w:pPr>
        <w:pStyle w:val="FirstParagraph"/>
      </w:pPr>
      <w:r>
        <w:t xml:space="preserve">Management’s full-year 2026 expense outlook was approximately</w:t>
      </w:r>
      <w:r>
        <w:t xml:space="preserve"> </w:t>
      </w:r>
      <w:r>
        <w:rPr>
          <w:b/>
          <w:bCs/>
        </w:rPr>
        <w:t xml:space="preserve">$3.275 billion</w:t>
      </w:r>
      <w:r>
        <w:t xml:space="preserve">, assuming flat markets from the approximately $2.3 trillion AUM level cited in late April. Since then, reported June AUM reached $2.47 trillion. That creates a favorable operating-leverage setup, though expenses are partly variable with revenue.</w:t>
      </w:r>
    </w:p>
    <w:p>
      <w:pPr>
        <w:pStyle w:val="BodyText"/>
      </w:pPr>
      <w:r>
        <w:t xml:space="preserve">The major items to monitor are:</w:t>
      </w:r>
    </w:p>
    <w:p>
      <w:pPr>
        <w:pStyle w:val="Compact"/>
        <w:numPr>
          <w:ilvl w:val="0"/>
          <w:numId w:val="1004"/>
        </w:numPr>
      </w:pPr>
      <w:r>
        <w:rPr>
          <w:b/>
          <w:bCs/>
        </w:rPr>
        <w:t xml:space="preserve">Adjusted operating margin:</w:t>
      </w:r>
      <w:r>
        <w:t xml:space="preserve"> </w:t>
      </w:r>
      <w:r>
        <w:t xml:space="preserve">Investors will want proof that IVZ can keep progressing from the mid-30% range toward management’s longer-term high-30% aspiration.</w:t>
      </w:r>
    </w:p>
    <w:p>
      <w:pPr>
        <w:pStyle w:val="Compact"/>
        <w:numPr>
          <w:ilvl w:val="0"/>
          <w:numId w:val="1004"/>
        </w:numPr>
      </w:pPr>
      <w:r>
        <w:rPr>
          <w:b/>
          <w:bCs/>
        </w:rPr>
        <w:t xml:space="preserve">Compensation ratio:</w:t>
      </w:r>
      <w:r>
        <w:t xml:space="preserve"> </w:t>
      </w:r>
      <w:r>
        <w:t xml:space="preserve">In 1Q, compensation included a $33 million acceleration tied to retirement-eligibility changes. A cleaner 2Q expense base could help sequential comparisons.</w:t>
      </w:r>
    </w:p>
    <w:p>
      <w:pPr>
        <w:pStyle w:val="Compact"/>
        <w:numPr>
          <w:ilvl w:val="0"/>
          <w:numId w:val="1004"/>
        </w:numPr>
      </w:pPr>
      <w:r>
        <w:rPr>
          <w:b/>
          <w:bCs/>
        </w:rPr>
        <w:t xml:space="preserve">Marketing expense:</w:t>
      </w:r>
      <w:r>
        <w:t xml:space="preserve"> </w:t>
      </w:r>
      <w:r>
        <w:t xml:space="preserve">QQQ marketing is now explicitly reported in the marketing line. Management had indicated an annual marketing range of roughly</w:t>
      </w:r>
      <w:r>
        <w:t xml:space="preserve"> </w:t>
      </w:r>
      <m:oMath>
        <m:r>
          <m:t>60</m:t>
        </m:r>
        <m:r>
          <m:rPr>
            <m:sty m:val="p"/>
          </m:rPr>
          <m:t>–</m:t>
        </m:r>
      </m:oMath>
      <w:r>
        <w:t xml:space="preserve">100 million.</w:t>
      </w:r>
    </w:p>
    <w:p>
      <w:pPr>
        <w:pStyle w:val="Compact"/>
        <w:numPr>
          <w:ilvl w:val="0"/>
          <w:numId w:val="1004"/>
        </w:numPr>
      </w:pPr>
      <w:r>
        <w:rPr>
          <w:b/>
          <w:bCs/>
        </w:rPr>
        <w:t xml:space="preserve">Hybrid investment-platform costs:</w:t>
      </w:r>
      <w:r>
        <w:t xml:space="preserve"> </w:t>
      </w:r>
      <w:r>
        <w:t xml:space="preserve">Management expects $10–15 million per quarter of implementation costs through year-end 2026, with incremental costs rising as assets migrate to the platform. The offset is expected to be at least $60 million of 2027 savings.</w:t>
      </w:r>
    </w:p>
    <w:p>
      <w:pPr>
        <w:pStyle w:val="Compact"/>
        <w:numPr>
          <w:ilvl w:val="0"/>
          <w:numId w:val="1004"/>
        </w:numPr>
      </w:pPr>
      <w:r>
        <w:rPr>
          <w:b/>
          <w:bCs/>
        </w:rPr>
        <w:t xml:space="preserve">Canada transaction:</w:t>
      </w:r>
      <w:r>
        <w:t xml:space="preserve"> </w:t>
      </w:r>
      <w:r>
        <w:t xml:space="preserve">Management previously expected its Canadian partnership with CI to close near the end of 2Q. Investors should look for an update on closing timing and any implications for AUM, revenue, and the anticipated near-term operating-income drag.</w:t>
      </w:r>
    </w:p>
    <w:bookmarkEnd w:id="13"/>
    <w:bookmarkStart w:id="14" w:name="Xe755e6700d95c7d60477db6d252cda317db9bf3"/>
    <w:p>
      <w:pPr>
        <w:pStyle w:val="Heading3"/>
      </w:pPr>
      <w:r>
        <w:t xml:space="preserve">5. Balance-sheet improvement and capital return remain supportive</w:t>
      </w:r>
    </w:p>
    <w:p>
      <w:pPr>
        <w:pStyle w:val="FirstParagraph"/>
      </w:pPr>
      <w:r>
        <w:t xml:space="preserve">Invesco ended 1Q with</w:t>
      </w:r>
      <w:r>
        <w:t xml:space="preserve"> </w:t>
      </w:r>
      <m:oMath>
        <m:r>
          <m:t>807</m:t>
        </m:r>
        <m:r>
          <m:t>m</m:t>
        </m:r>
        <m:r>
          <m:t>i</m:t>
        </m:r>
        <m:r>
          <m:t>l</m:t>
        </m:r>
        <m:r>
          <m:t>l</m:t>
        </m:r>
        <m:r>
          <m:t>i</m:t>
        </m:r>
        <m:r>
          <m:t>o</m:t>
        </m:r>
        <m:r>
          <m:t>n</m:t>
        </m:r>
        <m:r>
          <m:t>o</m:t>
        </m:r>
        <m:r>
          <m:t>f</m:t>
        </m:r>
        <m:r>
          <m:t>c</m:t>
        </m:r>
        <m:r>
          <m:t>a</m:t>
        </m:r>
        <m:r>
          <m:t>s</m:t>
        </m:r>
        <m:r>
          <m:t>h</m:t>
        </m:r>
        <m:r>
          <m:rPr>
            <m:sty m:val="p"/>
          </m:rPr>
          <m:t>*</m:t>
        </m:r>
        <m:r>
          <m:rPr>
            <m:sty m:val="p"/>
          </m:rPr>
          <m:t>*</m:t>
        </m:r>
        <m:r>
          <m:t>a</m:t>
        </m:r>
        <m:r>
          <m:t>n</m:t>
        </m:r>
        <m:r>
          <m:t>d</m:t>
        </m:r>
        <m:r>
          <m:rPr>
            <m:sty m:val="p"/>
          </m:rPr>
          <m:t>*</m:t>
        </m:r>
        <m:r>
          <m:rPr>
            <m:sty m:val="p"/>
          </m:rPr>
          <m:t>*</m:t>
        </m:r>
      </m:oMath>
      <w:r>
        <w:rPr>
          <w:b/>
          <w:bCs/>
        </w:rPr>
        <w:t xml:space="preserve">1.97 billion of debt</w:t>
      </w:r>
      <w:r>
        <w:t xml:space="preserve">, including a $1.1 billion revolver balance after redeeming $500 million of maturing senior notes and repurchasing preferred stock. Management’s stated objective was to reduce the revolver over the balance of 2026 while increasing EBITDA.</w:t>
      </w:r>
    </w:p>
    <w:p>
      <w:pPr>
        <w:pStyle w:val="BodyText"/>
      </w:pPr>
      <w:r>
        <w:t xml:space="preserve">Capital return is a secondary but relevant catalyst:</w:t>
      </w:r>
    </w:p>
    <w:p>
      <w:pPr>
        <w:pStyle w:val="Compact"/>
        <w:numPr>
          <w:ilvl w:val="0"/>
          <w:numId w:val="1005"/>
        </w:numPr>
      </w:pPr>
      <w:r>
        <w:t xml:space="preserve">The board authorized a</w:t>
      </w:r>
      <w:r>
        <w:t xml:space="preserve"> </w:t>
      </w:r>
      <w:r>
        <w:rPr>
          <w:b/>
          <w:bCs/>
        </w:rPr>
        <w:t xml:space="preserve">$1 billion share-repurchase program</w:t>
      </w:r>
      <w:r>
        <w:t xml:space="preserve"> </w:t>
      </w:r>
      <w:r>
        <w:t xml:space="preserve">in February.</w:t>
      </w:r>
    </w:p>
    <w:p>
      <w:pPr>
        <w:pStyle w:val="Compact"/>
        <w:numPr>
          <w:ilvl w:val="0"/>
          <w:numId w:val="1005"/>
        </w:numPr>
      </w:pPr>
      <w:r>
        <w:t xml:space="preserve">IVZ repurchased</w:t>
      </w:r>
      <w:r>
        <w:t xml:space="preserve"> </w:t>
      </w:r>
      <w:r>
        <w:rPr>
          <w:b/>
          <w:bCs/>
        </w:rPr>
        <w:t xml:space="preserve">$40 million</w:t>
      </w:r>
      <w:r>
        <w:t xml:space="preserve"> </w:t>
      </w:r>
      <w:r>
        <w:t xml:space="preserve">of stock in 1Q.</w:t>
      </w:r>
    </w:p>
    <w:p>
      <w:pPr>
        <w:pStyle w:val="Compact"/>
        <w:numPr>
          <w:ilvl w:val="0"/>
          <w:numId w:val="1005"/>
        </w:numPr>
      </w:pPr>
      <w:r>
        <w:t xml:space="preserve">Management targets an aggregate common-dividend-plus-buyback payout ratio near</w:t>
      </w:r>
      <w:r>
        <w:t xml:space="preserve"> </w:t>
      </w:r>
      <w:r>
        <w:rPr>
          <w:b/>
          <w:bCs/>
        </w:rPr>
        <w:t xml:space="preserve">60%</w:t>
      </w:r>
      <w:r>
        <w:t xml:space="preserve"> </w:t>
      </w:r>
      <w:r>
        <w:t xml:space="preserve">for 2026.</w:t>
      </w:r>
    </w:p>
    <w:p>
      <w:pPr>
        <w:pStyle w:val="FirstParagraph"/>
      </w:pPr>
      <w:r>
        <w:t xml:space="preserve">A stronger-than-expected buyback pace or faster revolver paydown would reinforce the improving capital-allocation narrative. The tradeoff is that investors will want capital returns to remain consistent with leverage reduction.</w:t>
      </w:r>
    </w:p>
    <w:bookmarkEnd w:id="14"/>
    <w:bookmarkEnd w:id="15"/>
    <w:bookmarkStart w:id="16" w:name="what-could-drive-a-positive-reaction"/>
    <w:p>
      <w:pPr>
        <w:pStyle w:val="Heading2"/>
      </w:pPr>
      <w:r>
        <w:t xml:space="preserve">What could drive a positive reaction</w:t>
      </w:r>
    </w:p>
    <w:p>
      <w:pPr>
        <w:pStyle w:val="Compact"/>
        <w:numPr>
          <w:ilvl w:val="0"/>
          <w:numId w:val="1006"/>
        </w:numPr>
      </w:pPr>
      <w:r>
        <w:t xml:space="preserve">Long-term net inflows remain meaningfully positive and diversified.</w:t>
      </w:r>
    </w:p>
    <w:p>
      <w:pPr>
        <w:pStyle w:val="Compact"/>
        <w:numPr>
          <w:ilvl w:val="0"/>
          <w:numId w:val="1006"/>
        </w:numPr>
      </w:pPr>
      <w:r>
        <w:t xml:space="preserve">QQQ returns to clear net inflows, with no meaningful signs of competitive pressure.</w:t>
      </w:r>
    </w:p>
    <w:p>
      <w:pPr>
        <w:pStyle w:val="Compact"/>
        <w:numPr>
          <w:ilvl w:val="0"/>
          <w:numId w:val="1006"/>
        </w:numPr>
      </w:pPr>
      <w:r>
        <w:t xml:space="preserve">Net revenue yield holds near the 1Q exit rate rather than declining.</w:t>
      </w:r>
    </w:p>
    <w:p>
      <w:pPr>
        <w:pStyle w:val="Compact"/>
        <w:numPr>
          <w:ilvl w:val="0"/>
          <w:numId w:val="1006"/>
        </w:numPr>
      </w:pPr>
      <w:r>
        <w:t xml:space="preserve">Revenue conversion from higher average AUM drives an EPS beat and upward full-year expectations.</w:t>
      </w:r>
    </w:p>
    <w:p>
      <w:pPr>
        <w:pStyle w:val="Compact"/>
        <w:numPr>
          <w:ilvl w:val="0"/>
          <w:numId w:val="1006"/>
        </w:numPr>
      </w:pPr>
      <w:r>
        <w:t xml:space="preserve">Adjusted operating margin expands sequentially or management expresses greater confidence in the route to high-30% margins.</w:t>
      </w:r>
    </w:p>
    <w:p>
      <w:pPr>
        <w:pStyle w:val="Compact"/>
        <w:numPr>
          <w:ilvl w:val="0"/>
          <w:numId w:val="1006"/>
        </w:numPr>
      </w:pPr>
      <w:r>
        <w:t xml:space="preserve">The company reaffirms—or improves—its expense outlook despite higher AUM.</w:t>
      </w:r>
    </w:p>
    <w:p>
      <w:pPr>
        <w:pStyle w:val="Compact"/>
        <w:numPr>
          <w:ilvl w:val="0"/>
          <w:numId w:val="1006"/>
        </w:numPr>
      </w:pPr>
      <w:r>
        <w:t xml:space="preserve">Management confirms Canada closing progress, continued China JV momentum, and effective rollout of international QQQ products.</w:t>
      </w:r>
    </w:p>
    <w:bookmarkEnd w:id="16"/>
    <w:bookmarkStart w:id="17" w:name="what-could-disappoint"/>
    <w:p>
      <w:pPr>
        <w:pStyle w:val="Heading2"/>
      </w:pPr>
      <w:r>
        <w:t xml:space="preserve">What could disappoint</w:t>
      </w:r>
    </w:p>
    <w:p>
      <w:pPr>
        <w:pStyle w:val="Compact"/>
        <w:numPr>
          <w:ilvl w:val="0"/>
          <w:numId w:val="1007"/>
        </w:numPr>
      </w:pPr>
      <w:r>
        <w:t xml:space="preserve">AUM growth proves primarily market-driven, with weaker-than-expected long-term flows.</w:t>
      </w:r>
    </w:p>
    <w:p>
      <w:pPr>
        <w:pStyle w:val="Compact"/>
        <w:numPr>
          <w:ilvl w:val="0"/>
          <w:numId w:val="1007"/>
        </w:numPr>
      </w:pPr>
      <w:r>
        <w:t xml:space="preserve">QQQ sees renewed outflows or management adopts a more cautious tone on competitive Nasdaq-100 ETF offerings.</w:t>
      </w:r>
    </w:p>
    <w:p>
      <w:pPr>
        <w:pStyle w:val="Compact"/>
        <w:numPr>
          <w:ilvl w:val="0"/>
          <w:numId w:val="1007"/>
        </w:numPr>
      </w:pPr>
      <w:r>
        <w:t xml:space="preserve">ETF/index and liquidity growth drives further net-revenue-yield compression.</w:t>
      </w:r>
    </w:p>
    <w:p>
      <w:pPr>
        <w:pStyle w:val="Compact"/>
        <w:numPr>
          <w:ilvl w:val="0"/>
          <w:numId w:val="1007"/>
        </w:numPr>
      </w:pPr>
      <w:r>
        <w:t xml:space="preserve">Marketing, compensation, hybrid-platform costs, or distribution expenses limit operating leverage.</w:t>
      </w:r>
    </w:p>
    <w:p>
      <w:pPr>
        <w:pStyle w:val="Compact"/>
        <w:numPr>
          <w:ilvl w:val="0"/>
          <w:numId w:val="1007"/>
        </w:numPr>
      </w:pPr>
      <w:r>
        <w:t xml:space="preserve">Management signals that balance-sheet deleveraging will slow or capital returns will be more constrained.</w:t>
      </w:r>
    </w:p>
    <w:p>
      <w:pPr>
        <w:pStyle w:val="Compact"/>
        <w:numPr>
          <w:ilvl w:val="0"/>
          <w:numId w:val="1007"/>
        </w:numPr>
      </w:pPr>
      <w:r>
        <w:t xml:space="preserve">China JV flows decelerate materially, removing an important high-growth pillar.</w:t>
      </w:r>
    </w:p>
    <w:bookmarkEnd w:id="17"/>
    <w:bookmarkStart w:id="19" w:name="bottom-line"/>
    <w:p>
      <w:pPr>
        <w:pStyle w:val="Heading2"/>
      </w:pPr>
      <w:r>
        <w:t xml:space="preserve">Bottom line</w:t>
      </w:r>
    </w:p>
    <w:p>
      <w:pPr>
        <w:pStyle w:val="FirstParagraph"/>
      </w:pPr>
      <w:r>
        <w:rPr>
          <w:b/>
          <w:bCs/>
        </w:rPr>
        <w:t xml:space="preserve">The 2Q setup is fundamentally constructive:</w:t>
      </w:r>
      <w:r>
        <w:t xml:space="preserve"> </w:t>
      </w:r>
      <w:r>
        <w:t xml:space="preserve">average AUM is materially higher, June AUM reached a record $2.47 trillion, and the strongest areas of the franchise—QQQ, ETFs/index, China JV, and liquidity—grew sharply during the quarter.</w:t>
      </w:r>
    </w:p>
    <w:p>
      <w:pPr>
        <w:pStyle w:val="BodyText"/>
      </w:pPr>
      <w:r>
        <w:t xml:space="preserve">But IVZ now needs to demonstrate that higher assets are producing</w:t>
      </w:r>
      <w:r>
        <w:t xml:space="preserve"> </w:t>
      </w:r>
      <w:r>
        <w:rPr>
          <w:b/>
          <w:bCs/>
        </w:rPr>
        <w:t xml:space="preserve">high-quality earnings</w:t>
      </w:r>
      <w:r>
        <w:t xml:space="preserve">. The most important read-throughs will be long-term flow breadth, QQQ flow and competitive commentary, net revenue yield, adjusted-margin progression, and the credibility of management’s expense and deleveraging plans. With the stock already up materially since 1Q earnings, a merely solid quarter may not be enough; investors are likely looking for confirmation that Invesco’s improved scale can translate into a more durable, higher-margin earnings trajectory.</w:t>
      </w:r>
    </w:p>
    <w:bookmarkStart w:id="18" w:name="source-materials-reviewed"/>
    <w:p>
      <w:pPr>
        <w:pStyle w:val="Heading3"/>
      </w:pPr>
      <w:r>
        <w:t xml:space="preserve">Source materials reviewed</w:t>
      </w:r>
    </w:p>
    <w:p>
      <w:pPr>
        <w:pStyle w:val="Compact"/>
        <w:numPr>
          <w:ilvl w:val="0"/>
          <w:numId w:val="1008"/>
        </w:numPr>
      </w:pPr>
      <w:r>
        <w:t xml:space="preserve">Invesco 1Q26 earnings release and conference-call transcript, April 28, 2026</w:t>
      </w:r>
    </w:p>
    <w:p>
      <w:pPr>
        <w:pStyle w:val="Compact"/>
        <w:numPr>
          <w:ilvl w:val="0"/>
          <w:numId w:val="1008"/>
        </w:numPr>
      </w:pPr>
      <w:r>
        <w:t xml:space="preserve">Invesco preliminary June 30, 2026 AUM release, July 10, 2026</w:t>
      </w:r>
    </w:p>
    <w:p>
      <w:pPr>
        <w:pStyle w:val="Compact"/>
        <w:numPr>
          <w:ilvl w:val="0"/>
          <w:numId w:val="1008"/>
        </w:numPr>
      </w:pPr>
      <w:r>
        <w:t xml:space="preserve">IVZ share-price history through July 27, 2026</w:t>
      </w:r>
    </w:p>
    <w:bookmarkEnd w:id="18"/>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2026-07-28T00:34:24Z</dcterms:created>
  <dcterms:modified xsi:type="dcterms:W3CDTF">2026-07-28T00:34:24Z</dcterms:modified>
</cp:coreProperties>
</file>

<file path=docProps/custom.xml><?xml version="1.0" encoding="utf-8"?>
<Properties xmlns="http://schemas.openxmlformats.org/officeDocument/2006/custom-properties" xmlns:vt="http://schemas.openxmlformats.org/officeDocument/2006/docPropsVTypes"/>
</file>