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Invesco Ltd. (IVZ)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Invesco Ltd.</w:t>
            </w:r>
          </w:p>
        </w:tc>
        <w:tc>
          <w:tcPr>
            <w:tcW w:type="dxa" w:w="2160"/>
          </w:tcPr>
          <w:p>
            <w:r>
              <w:rPr>
                <w:rFonts w:ascii="Calibri" w:hAnsi="Calibri"/>
                <w:b/>
                <w:sz w:val="22"/>
              </w:rPr>
              <w:t>Ticker</w:t>
            </w:r>
          </w:p>
        </w:tc>
        <w:tc>
          <w:tcPr>
            <w:tcW w:type="dxa" w:w="2160"/>
          </w:tcPr>
          <w:p>
            <w:r>
              <w:rPr>
                <w:rFonts w:ascii="Calibri" w:hAnsi="Calibri"/>
                <w:sz w:val="22"/>
              </w:rPr>
              <w:t>IVZ (NYSE)</w:t>
            </w:r>
          </w:p>
        </w:tc>
      </w:tr>
      <w:tr>
        <w:tc>
          <w:tcPr>
            <w:tcW w:type="dxa" w:w="2160"/>
          </w:tcPr>
          <w:p>
            <w:r>
              <w:rPr>
                <w:rFonts w:ascii="Calibri" w:hAnsi="Calibri"/>
                <w:b/>
                <w:sz w:val="22"/>
              </w:rPr>
              <w:t>Upcoming Earnings Date</w:t>
            </w:r>
          </w:p>
        </w:tc>
        <w:tc>
          <w:tcPr>
            <w:tcW w:type="dxa" w:w="2160"/>
          </w:tcPr>
          <w:p>
            <w:r>
              <w:rPr>
                <w:rFonts w:ascii="Calibri" w:hAnsi="Calibri"/>
                <w:sz w:val="22"/>
              </w:rPr>
              <w:t>July 28, 2026 (Before Market Open)</w:t>
            </w:r>
          </w:p>
        </w:tc>
        <w:tc>
          <w:tcPr>
            <w:tcW w:type="dxa" w:w="2160"/>
          </w:tcPr>
          <w:p>
            <w:r>
              <w:rPr>
                <w:rFonts w:ascii="Calibri" w:hAnsi="Calibri"/>
                <w:b/>
                <w:sz w:val="22"/>
              </w:rPr>
              <w:t>Preparation Date</w:t>
            </w:r>
          </w:p>
        </w:tc>
        <w:tc>
          <w:tcPr>
            <w:tcW w:type="dxa" w:w="2160"/>
          </w:tcPr>
          <w:p>
            <w:r>
              <w:rPr>
                <w:rFonts w:ascii="Calibri" w:hAnsi="Calibri"/>
                <w:sz w:val="22"/>
              </w:rPr>
              <w:t>July 27, 2026</w:t>
            </w:r>
          </w:p>
        </w:tc>
      </w:tr>
      <w:tr>
        <w:tc>
          <w:tcPr>
            <w:tcW w:type="dxa" w:w="2160"/>
          </w:tcPr>
          <w:p>
            <w:r>
              <w:rPr>
                <w:rFonts w:ascii="Calibri" w:hAnsi="Calibri"/>
                <w:b/>
                <w:sz w:val="22"/>
              </w:rPr>
              <w:t>Last Reported Period</w:t>
            </w:r>
          </w:p>
        </w:tc>
        <w:tc>
          <w:tcPr>
            <w:tcW w:type="dxa" w:w="2160"/>
          </w:tcPr>
          <w:p>
            <w:r>
              <w:rPr>
                <w:rFonts w:ascii="Calibri" w:hAnsi="Calibri"/>
                <w:sz w:val="22"/>
              </w:rPr>
              <w:t>Q1 2026 (April 28, 2026)</w:t>
            </w:r>
          </w:p>
        </w:tc>
        <w:tc>
          <w:tcPr>
            <w:tcW w:type="dxa" w:w="2160"/>
          </w:tcPr>
          <w:p>
            <w:r>
              <w:rPr>
                <w:rFonts w:ascii="Calibri" w:hAnsi="Calibri"/>
                <w:b/>
                <w:sz w:val="22"/>
              </w:rPr>
              <w:t>Reporting Period</w:t>
            </w:r>
          </w:p>
        </w:tc>
        <w:tc>
          <w:tcPr>
            <w:tcW w:type="dxa" w:w="2160"/>
          </w:tcPr>
          <w:p>
            <w:r>
              <w:rPr>
                <w:rFonts w:ascii="Calibri" w:hAnsi="Calibri"/>
                <w:sz w:val="22"/>
              </w:rPr>
              <w:t>Q2 2026 (June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w:t>
      </w:r>
      <w:r>
        <w:rPr>
          <w:rFonts w:ascii="Calibri" w:hAnsi="Calibri"/>
          <w:b/>
          <w:color w:val="525866"/>
          <w:sz w:val="22"/>
        </w:rPr>
        <w:t>AUM surged ~14% quarter-over-quarter to $2.47T</w:t>
      </w:r>
      <w:r>
        <w:rPr>
          <w:rFonts w:ascii="Calibri" w:hAnsi="Calibri"/>
          <w:color w:val="525866"/>
          <w:sz w:val="22"/>
        </w:rPr>
        <w:t xml:space="preserve"> driven by QQQ inflows and market appreciation, creating a high-revenue-growth quarter that consensus may be underestimating; the biggest swing factor is whether </w:t>
      </w:r>
      <w:r>
        <w:rPr>
          <w:rFonts w:ascii="Calibri" w:hAnsi="Calibri"/>
          <w:b/>
          <w:color w:val="525866"/>
          <w:sz w:val="22"/>
        </w:rPr>
        <w:t>operating margin can hold or expand</w:t>
      </w:r>
      <w:r>
        <w:rPr>
          <w:rFonts w:ascii="Calibri" w:hAnsi="Calibri"/>
          <w:color w:val="525866"/>
          <w:sz w:val="22"/>
        </w:rPr>
        <w:t xml:space="preserve"> despite QQQ mix pressure on net revenue yield.</w:t>
      </w:r>
    </w:p>
    <w:p>
      <w:r>
        <w:rPr>
          <w:rFonts w:ascii="Calibri" w:hAnsi="Calibri"/>
          <w:color w:val="525866"/>
          <w:sz w:val="22"/>
        </w:rPr>
        <w:t xml:space="preserve">Heading into Q2 2026 results, the setup for IVZ is constructively bullish. The bar is achievable: consensus EPS of $0.66 implies 86% year-over-year growth, but the real story is that preliminary AUM of $2.47T at June 30 — up 14.4% from Q1-end — was driven by a $120B surge in QQQ AUM in the first two months of Q2 alone (management disclosed at the Morgan Stanley Financials Conference), creating what the CFO described as "massive revenue growth" for the quarter. Management's tone has been consistently confident since the Q1 print, with the CEO and CFO both reiterating the path to high-30s operating margin at two investor conferences, and monthly flow data showing $18B in April, $19B in May, and $8B in June of net long-term inflows — well above the $27B consensus estimate for the full quarter. Estimate revisions have moved meaningfully higher since Q1 earnings (EPS consensus up ~10% from $0.61 to $0.66; revenue up ~5% from $1.27B to $1.33B), suggesting the Street has already partially priced in the AUM tailwind, though the magnitude of QQQ-driven revenue growth may still surprise. The stock has already rallied ~16% since the Q1 print, outperforming both the S&amp;P 500 (+4%) and the insurance/financial ETF KIE (+12%), so some beat is priced in. The key wildcard is </w:t>
      </w:r>
      <w:r>
        <w:rPr>
          <w:rFonts w:ascii="Calibri" w:hAnsi="Calibri"/>
          <w:b/>
          <w:color w:val="525866"/>
          <w:sz w:val="22"/>
        </w:rPr>
        <w:t>net revenue yield</w:t>
      </w:r>
      <w:r>
        <w:rPr>
          <w:rFonts w:ascii="Calibri" w:hAnsi="Calibri"/>
          <w:color w:val="525866"/>
          <w:sz w:val="22"/>
        </w:rPr>
        <w:t>: QQQ's ~6 bps fee rate is dilutive to the blended yield, and if the mix shift is more severe than modeled, operating margin could disappoint even on strong revenue — that is the single number to watch on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 bar on EPS and revenue</w:t>
      </w:r>
      <w:r>
        <w:rPr>
          <w:rFonts w:ascii="Calibri" w:hAnsi="Calibri"/>
          <w:color w:val="525866"/>
          <w:sz w:val="22"/>
        </w:rPr>
        <w:t xml:space="preserve"> given the AUM tailwind, but </w:t>
      </w:r>
      <w:r>
        <w:rPr>
          <w:rFonts w:ascii="Calibri" w:hAnsi="Calibri"/>
          <w:b/>
          <w:color w:val="525866"/>
          <w:sz w:val="22"/>
        </w:rPr>
        <w:t>net long-term flows</w:t>
      </w:r>
      <w:r>
        <w:rPr>
          <w:rFonts w:ascii="Calibri" w:hAnsi="Calibri"/>
          <w:color w:val="525866"/>
          <w:sz w:val="22"/>
        </w:rPr>
        <w:t xml:space="preserve"> are the bigger swing factor — the Street's $44.9B estimate looks high relative to the $45B of inflows implied by monthly data ($18B + $19B + $8B = $45B), suggesting flows may roughly meet consensus while revenue surprises to the upside on QQQ AUM growth.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(Diluted - Operating)</w:t>
            </w:r>
          </w:p>
        </w:tc>
        <w:tc>
          <w:tcPr>
            <w:tcW w:type="dxa" w:w="1234"/>
          </w:tcPr>
          <w:p>
            <w:r>
              <w:rPr>
                <w:rFonts w:ascii="Calibri" w:hAnsi="Calibri"/>
                <w:sz w:val="22"/>
              </w:rPr>
              <w:t>$0.57</w:t>
            </w:r>
          </w:p>
        </w:tc>
        <w:tc>
          <w:tcPr>
            <w:tcW w:type="dxa" w:w="1234"/>
          </w:tcPr>
          <w:p>
            <w:r>
              <w:rPr>
                <w:rFonts w:ascii="Calibri" w:hAnsi="Calibri"/>
                <w:sz w:val="22"/>
              </w:rPr>
              <w:t>$0.36</w:t>
            </w:r>
          </w:p>
        </w:tc>
        <w:tc>
          <w:tcPr>
            <w:tcW w:type="dxa" w:w="1234"/>
          </w:tcPr>
          <w:p>
            <w:r>
              <w:rPr>
                <w:rFonts w:ascii="Calibri" w:hAnsi="Calibri"/>
                <w:sz w:val="22"/>
              </w:rPr>
              <w:t>$0.66</w:t>
            </w:r>
          </w:p>
        </w:tc>
        <w:tc>
          <w:tcPr>
            <w:tcW w:type="dxa" w:w="1234"/>
          </w:tcPr>
          <w:p>
            <w:r>
              <w:rPr>
                <w:rFonts w:ascii="Calibri" w:hAnsi="Calibri"/>
                <w:sz w:val="22"/>
              </w:rPr>
              <w:t>+86.1%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Net Revenues - Operating</w:t>
            </w:r>
          </w:p>
        </w:tc>
        <w:tc>
          <w:tcPr>
            <w:tcW w:type="dxa" w:w="1234"/>
          </w:tcPr>
          <w:p>
            <w:r>
              <w:rPr>
                <w:rFonts w:ascii="Calibri" w:hAnsi="Calibri"/>
                <w:sz w:val="22"/>
              </w:rPr>
              <w:t>$1,264M</w:t>
            </w:r>
          </w:p>
        </w:tc>
        <w:tc>
          <w:tcPr>
            <w:tcW w:type="dxa" w:w="1234"/>
          </w:tcPr>
          <w:p>
            <w:r>
              <w:rPr>
                <w:rFonts w:ascii="Calibri" w:hAnsi="Calibri"/>
                <w:sz w:val="22"/>
              </w:rPr>
              <w:t>$1,105M</w:t>
            </w:r>
          </w:p>
        </w:tc>
        <w:tc>
          <w:tcPr>
            <w:tcW w:type="dxa" w:w="1234"/>
          </w:tcPr>
          <w:p>
            <w:r>
              <w:rPr>
                <w:rFonts w:ascii="Calibri" w:hAnsi="Calibri"/>
                <w:sz w:val="22"/>
              </w:rPr>
              <w:t>$1,333M</w:t>
            </w:r>
          </w:p>
        </w:tc>
        <w:tc>
          <w:tcPr>
            <w:tcW w:type="dxa" w:w="1234"/>
          </w:tcPr>
          <w:p>
            <w:r>
              <w:rPr>
                <w:rFonts w:ascii="Calibri" w:hAnsi="Calibri"/>
                <w:sz w:val="22"/>
              </w:rPr>
              <w:t>+20.6% YoY</w:t>
            </w:r>
          </w:p>
        </w:tc>
        <w:tc>
          <w:tcPr>
            <w:tcW w:type="dxa" w:w="1234"/>
          </w:tcPr>
          <w:p>
            <w:r>
              <w:rPr>
                <w:rFonts w:ascii="Calibri" w:hAnsi="Calibri"/>
                <w:sz w:val="22"/>
              </w:rPr>
              <w:t>Opex ~$3.275B FY (flat mkt)</w:t>
            </w:r>
          </w:p>
        </w:tc>
        <w:tc>
          <w:tcPr>
            <w:tcW w:type="dxa" w:w="1234"/>
          </w:tcPr>
          <w:p>
            <w:r>
              <w:rPr>
                <w:rFonts w:ascii="Calibri" w:hAnsi="Calibri"/>
                <w:sz w:val="22"/>
              </w:rPr>
              <w:t>N/A (revenue not guided)</w:t>
            </w:r>
          </w:p>
        </w:tc>
      </w:tr>
      <w:tr>
        <w:tc>
          <w:tcPr>
            <w:tcW w:type="dxa" w:w="1234"/>
          </w:tcPr>
          <w:p>
            <w:r>
              <w:rPr>
                <w:rFonts w:ascii="Calibri" w:hAnsi="Calibri"/>
                <w:sz w:val="22"/>
              </w:rPr>
              <w:t>Operating Income - Operating</w:t>
            </w:r>
          </w:p>
        </w:tc>
        <w:tc>
          <w:tcPr>
            <w:tcW w:type="dxa" w:w="1234"/>
          </w:tcPr>
          <w:p>
            <w:r>
              <w:rPr>
                <w:rFonts w:ascii="Calibri" w:hAnsi="Calibri"/>
                <w:sz w:val="22"/>
              </w:rPr>
              <w:t>$436M</w:t>
            </w:r>
          </w:p>
        </w:tc>
        <w:tc>
          <w:tcPr>
            <w:tcW w:type="dxa" w:w="1234"/>
          </w:tcPr>
          <w:p>
            <w:r>
              <w:rPr>
                <w:rFonts w:ascii="Calibri" w:hAnsi="Calibri"/>
                <w:sz w:val="22"/>
              </w:rPr>
              <w:t>$344M</w:t>
            </w:r>
          </w:p>
        </w:tc>
        <w:tc>
          <w:tcPr>
            <w:tcW w:type="dxa" w:w="1234"/>
          </w:tcPr>
          <w:p>
            <w:r>
              <w:rPr>
                <w:rFonts w:ascii="Calibri" w:hAnsi="Calibri"/>
                <w:sz w:val="22"/>
              </w:rPr>
              <w:t>$488M</w:t>
            </w:r>
          </w:p>
        </w:tc>
        <w:tc>
          <w:tcPr>
            <w:tcW w:type="dxa" w:w="1234"/>
          </w:tcPr>
          <w:p>
            <w:r>
              <w:rPr>
                <w:rFonts w:ascii="Calibri" w:hAnsi="Calibri"/>
                <w:sz w:val="22"/>
              </w:rPr>
              <w:t>+41.9%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Long-Term Net Flows</w:t>
            </w:r>
          </w:p>
        </w:tc>
        <w:tc>
          <w:tcPr>
            <w:tcW w:type="dxa" w:w="1234"/>
          </w:tcPr>
          <w:p>
            <w:r>
              <w:rPr>
                <w:rFonts w:ascii="Calibri" w:hAnsi="Calibri"/>
                <w:sz w:val="22"/>
              </w:rPr>
              <w:t>$21.8B</w:t>
            </w:r>
          </w:p>
        </w:tc>
        <w:tc>
          <w:tcPr>
            <w:tcW w:type="dxa" w:w="1234"/>
          </w:tcPr>
          <w:p>
            <w:r>
              <w:rPr>
                <w:rFonts w:ascii="Calibri" w:hAnsi="Calibri"/>
                <w:sz w:val="22"/>
              </w:rPr>
              <w:t>$15.6B</w:t>
            </w:r>
          </w:p>
        </w:tc>
        <w:tc>
          <w:tcPr>
            <w:tcW w:type="dxa" w:w="1234"/>
          </w:tcPr>
          <w:p>
            <w:r>
              <w:rPr>
                <w:rFonts w:ascii="Calibri" w:hAnsi="Calibri"/>
                <w:sz w:val="22"/>
              </w:rPr>
              <w:t>$44.9B</w:t>
            </w:r>
          </w:p>
        </w:tc>
        <w:tc>
          <w:tcPr>
            <w:tcW w:type="dxa" w:w="1234"/>
          </w:tcPr>
          <w:p>
            <w:r>
              <w:rPr>
                <w:rFonts w:ascii="Calibri" w:hAnsi="Calibri"/>
                <w:sz w:val="22"/>
              </w:rPr>
              <w:t>+188%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Ending AUM</w:t>
            </w:r>
          </w:p>
        </w:tc>
        <w:tc>
          <w:tcPr>
            <w:tcW w:type="dxa" w:w="1234"/>
          </w:tcPr>
          <w:p>
            <w:r>
              <w:rPr>
                <w:rFonts w:ascii="Calibri" w:hAnsi="Calibri"/>
                <w:sz w:val="22"/>
              </w:rPr>
              <w:t>$2,159.5B</w:t>
            </w:r>
          </w:p>
        </w:tc>
        <w:tc>
          <w:tcPr>
            <w:tcW w:type="dxa" w:w="1234"/>
          </w:tcPr>
          <w:p>
            <w:r>
              <w:rPr>
                <w:rFonts w:ascii="Calibri" w:hAnsi="Calibri"/>
                <w:sz w:val="22"/>
              </w:rPr>
              <w:t>$2,001.4B</w:t>
            </w:r>
          </w:p>
        </w:tc>
        <w:tc>
          <w:tcPr>
            <w:tcW w:type="dxa" w:w="1234"/>
          </w:tcPr>
          <w:p>
            <w:r>
              <w:rPr>
                <w:rFonts w:ascii="Calibri" w:hAnsi="Calibri"/>
                <w:sz w:val="22"/>
              </w:rPr>
              <w:t>$2,473.2B</w:t>
            </w:r>
          </w:p>
        </w:tc>
        <w:tc>
          <w:tcPr>
            <w:tcW w:type="dxa" w:w="1234"/>
          </w:tcPr>
          <w:p>
            <w:r>
              <w:rPr>
                <w:rFonts w:ascii="Calibri" w:hAnsi="Calibri"/>
                <w:sz w:val="22"/>
              </w:rPr>
              <w:t>+23.6% YoY</w:t>
            </w:r>
          </w:p>
        </w:tc>
        <w:tc>
          <w:tcPr>
            <w:tcW w:type="dxa" w:w="1234"/>
          </w:tcPr>
          <w:p>
            <w:r>
              <w:rPr>
                <w:rFonts w:ascii="Calibri" w:hAnsi="Calibri"/>
                <w:sz w:val="22"/>
              </w:rPr>
              <w:t>~$2.3T (flat mkt assumption)</w:t>
            </w:r>
          </w:p>
        </w:tc>
        <w:tc>
          <w:tcPr>
            <w:tcW w:type="dxa" w:w="1234"/>
          </w:tcPr>
          <w:p>
            <w:r>
              <w:rPr>
                <w:rFonts w:ascii="Calibri" w:hAnsi="Calibri"/>
                <w:sz w:val="22"/>
              </w:rPr>
              <w:t>+7.5% above guidance base</w:t>
            </w:r>
          </w:p>
        </w:tc>
      </w:tr>
      <w:tr>
        <w:tc>
          <w:tcPr>
            <w:tcW w:type="dxa" w:w="1234"/>
          </w:tcPr>
          <w:p>
            <w:r>
              <w:rPr>
                <w:rFonts w:ascii="Calibri" w:hAnsi="Calibri"/>
                <w:sz w:val="22"/>
              </w:rPr>
              <w:t>Net Revenue Yield - Operating</w:t>
            </w:r>
          </w:p>
        </w:tc>
        <w:tc>
          <w:tcPr>
            <w:tcW w:type="dxa" w:w="1234"/>
          </w:tcPr>
          <w:p>
            <w:r>
              <w:rPr>
                <w:rFonts w:ascii="Calibri" w:hAnsi="Calibri"/>
                <w:sz w:val="22"/>
              </w:rPr>
              <w:t>22.8 bps (exit rate)</w:t>
            </w:r>
          </w:p>
        </w:tc>
        <w:tc>
          <w:tcPr>
            <w:tcW w:type="dxa" w:w="1234"/>
          </w:tcPr>
          <w:p>
            <w:r>
              <w:rPr>
                <w:rFonts w:ascii="Calibri" w:hAnsi="Calibri"/>
                <w:sz w:val="22"/>
              </w:rPr>
              <w:t>23.3 bps</w:t>
            </w:r>
          </w:p>
        </w:tc>
        <w:tc>
          <w:tcPr>
            <w:tcW w:type="dxa" w:w="1234"/>
          </w:tcPr>
          <w:p>
            <w:r>
              <w:rPr>
                <w:rFonts w:ascii="Calibri" w:hAnsi="Calibri"/>
                <w:sz w:val="22"/>
              </w:rPr>
              <w:t>22.6 bps</w:t>
            </w:r>
          </w:p>
        </w:tc>
        <w:tc>
          <w:tcPr>
            <w:tcW w:type="dxa" w:w="1234"/>
          </w:tcPr>
          <w:p>
            <w:r>
              <w:rPr>
                <w:rFonts w:ascii="Calibri" w:hAnsi="Calibri"/>
                <w:sz w:val="22"/>
              </w:rPr>
              <w:t>-30 bps YoY</w:t>
            </w:r>
          </w:p>
        </w:tc>
        <w:tc>
          <w:tcPr>
            <w:tcW w:type="dxa" w:w="1234"/>
          </w:tcPr>
          <w:p>
            <w:r>
              <w:rPr>
                <w:rFonts w:ascii="Calibri" w:hAnsi="Calibri"/>
                <w:sz w:val="22"/>
              </w:rPr>
              <w:t>Stabilization ~22-23 bps</w:t>
            </w:r>
          </w:p>
        </w:tc>
        <w:tc>
          <w:tcPr>
            <w:tcW w:type="dxa" w:w="1234"/>
          </w:tcPr>
          <w:p>
            <w:r>
              <w:rPr>
                <w:rFonts w:ascii="Calibri" w:hAnsi="Calibri"/>
                <w:sz w:val="22"/>
              </w:rPr>
              <w:t>Within guidance range</w:t>
            </w:r>
          </w:p>
        </w:tc>
      </w:tr>
      <w:tr>
        <w:tc>
          <w:tcPr>
            <w:tcW w:type="dxa" w:w="1234"/>
          </w:tcPr>
          <w:p>
            <w:r>
              <w:rPr>
                <w:rFonts w:ascii="Calibri" w:hAnsi="Calibri"/>
                <w:sz w:val="22"/>
              </w:rPr>
              <w:t>Total Opex - Operating</w:t>
            </w:r>
          </w:p>
        </w:tc>
        <w:tc>
          <w:tcPr>
            <w:tcW w:type="dxa" w:w="1234"/>
          </w:tcPr>
          <w:p>
            <w:r>
              <w:rPr>
                <w:rFonts w:ascii="Calibri" w:hAnsi="Calibri"/>
                <w:sz w:val="22"/>
              </w:rPr>
              <w:t>$828M</w:t>
            </w:r>
          </w:p>
        </w:tc>
        <w:tc>
          <w:tcPr>
            <w:tcW w:type="dxa" w:w="1234"/>
          </w:tcPr>
          <w:p>
            <w:r>
              <w:rPr>
                <w:rFonts w:ascii="Calibri" w:hAnsi="Calibri"/>
                <w:sz w:val="22"/>
              </w:rPr>
              <w:t>$760M</w:t>
            </w:r>
          </w:p>
        </w:tc>
        <w:tc>
          <w:tcPr>
            <w:tcW w:type="dxa" w:w="1234"/>
          </w:tcPr>
          <w:p>
            <w:r>
              <w:rPr>
                <w:rFonts w:ascii="Calibri" w:hAnsi="Calibri"/>
                <w:sz w:val="22"/>
              </w:rPr>
              <w:t>$845M</w:t>
            </w:r>
          </w:p>
        </w:tc>
        <w:tc>
          <w:tcPr>
            <w:tcW w:type="dxa" w:w="1234"/>
          </w:tcPr>
          <w:p>
            <w:r>
              <w:rPr>
                <w:rFonts w:ascii="Calibri" w:hAnsi="Calibri"/>
                <w:sz w:val="22"/>
              </w:rPr>
              <w:t>+11.2% YoY</w:t>
            </w:r>
          </w:p>
        </w:tc>
        <w:tc>
          <w:tcPr>
            <w:tcW w:type="dxa" w:w="1234"/>
          </w:tcPr>
          <w:p>
            <w:r>
              <w:rPr>
                <w:rFonts w:ascii="Calibri" w:hAnsi="Calibri"/>
                <w:sz w:val="22"/>
              </w:rPr>
              <w:t>~$3.275B FY 2026</w:t>
            </w:r>
          </w:p>
        </w:tc>
        <w:tc>
          <w:tcPr>
            <w:tcW w:type="dxa" w:w="1234"/>
          </w:tcPr>
          <w:p>
            <w:r>
              <w:rPr>
                <w:rFonts w:ascii="Calibri" w:hAnsi="Calibri"/>
                <w:sz w:val="22"/>
              </w:rPr>
              <w:t>~$818M Q2 implied; cons. +3.3% above</w:t>
            </w:r>
          </w:p>
        </w:tc>
      </w:tr>
    </w:tbl>
    <w:p>
      <w:r>
        <w:rPr>
          <w:rFonts w:ascii="Calibri" w:hAnsi="Calibri"/>
          <w:i/>
          <w:color w:val="525866"/>
          <w:sz w:val="22"/>
        </w:rPr>
        <w:t>Sources: Visible Alpha consensus and actuals data. Ending AUM and monthly flow data from Invesco 8-K AUM releases (April and June 2026). Net revenue yield exit rate from Q1 2026 earnings call. Consensus EPS of $0.66 per Zacks/internet sources; VA consensus shows $0.664.</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Adjusted EPS (Diluted - Operating) and Long-Term Net Flows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$0.57</w:t>
            </w:r>
          </w:p>
        </w:tc>
        <w:tc>
          <w:tcPr>
            <w:tcW w:type="dxa" w:w="1440"/>
          </w:tcPr>
          <w:p>
            <w:r>
              <w:rPr>
                <w:rFonts w:ascii="Calibri" w:hAnsi="Calibri"/>
                <w:sz w:val="22"/>
              </w:rPr>
              <w:t>$0.575</w:t>
            </w:r>
          </w:p>
        </w:tc>
        <w:tc>
          <w:tcPr>
            <w:tcW w:type="dxa" w:w="1440"/>
          </w:tcPr>
          <w:p>
            <w:r>
              <w:rPr>
                <w:rFonts w:ascii="Calibri" w:hAnsi="Calibri"/>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LT Net Flows</w:t>
            </w:r>
          </w:p>
        </w:tc>
        <w:tc>
          <w:tcPr>
            <w:tcW w:type="dxa" w:w="1440"/>
          </w:tcPr>
          <w:p>
            <w:r>
              <w:rPr>
                <w:rFonts w:ascii="Calibri" w:hAnsi="Calibri"/>
                <w:sz w:val="22"/>
              </w:rPr>
              <w:t>$21.8B</w:t>
            </w:r>
          </w:p>
        </w:tc>
        <w:tc>
          <w:tcPr>
            <w:tcW w:type="dxa" w:w="1440"/>
          </w:tcPr>
          <w:p>
            <w:r>
              <w:rPr>
                <w:rFonts w:ascii="Calibri" w:hAnsi="Calibri"/>
                <w:sz w:val="22"/>
              </w:rPr>
              <w:t>$22.0B</w:t>
            </w:r>
          </w:p>
        </w:tc>
        <w:tc>
          <w:tcPr>
            <w:tcW w:type="dxa" w:w="1440"/>
          </w:tcPr>
          <w:p>
            <w:r>
              <w:rPr>
                <w:rFonts w:ascii="Calibri" w:hAnsi="Calibri"/>
                <w:sz w:val="22"/>
              </w:rPr>
              <w:t>-1.0%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$0.62</w:t>
            </w:r>
          </w:p>
        </w:tc>
        <w:tc>
          <w:tcPr>
            <w:tcW w:type="dxa" w:w="1440"/>
          </w:tcPr>
          <w:p>
            <w:r>
              <w:rPr>
                <w:rFonts w:ascii="Calibri" w:hAnsi="Calibri"/>
                <w:sz w:val="22"/>
              </w:rPr>
              <w:t>$0.583</w:t>
            </w:r>
          </w:p>
        </w:tc>
        <w:tc>
          <w:tcPr>
            <w:tcW w:type="dxa" w:w="1440"/>
          </w:tcPr>
          <w:p>
            <w:r>
              <w:rPr>
                <w:rFonts w:ascii="Calibri" w:hAnsi="Calibri"/>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LT Net Flows</w:t>
            </w:r>
          </w:p>
        </w:tc>
        <w:tc>
          <w:tcPr>
            <w:tcW w:type="dxa" w:w="1440"/>
          </w:tcPr>
          <w:p>
            <w:r>
              <w:rPr>
                <w:rFonts w:ascii="Calibri" w:hAnsi="Calibri"/>
                <w:sz w:val="22"/>
              </w:rPr>
              <w:t>$19.1B</w:t>
            </w:r>
          </w:p>
        </w:tc>
        <w:tc>
          <w:tcPr>
            <w:tcW w:type="dxa" w:w="1440"/>
          </w:tcPr>
          <w:p>
            <w:r>
              <w:rPr>
                <w:rFonts w:ascii="Calibri" w:hAnsi="Calibri"/>
                <w:sz w:val="22"/>
              </w:rPr>
              <w:t>$18.9B</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$0.61</w:t>
            </w:r>
          </w:p>
        </w:tc>
        <w:tc>
          <w:tcPr>
            <w:tcW w:type="dxa" w:w="1440"/>
          </w:tcPr>
          <w:p>
            <w:r>
              <w:rPr>
                <w:rFonts w:ascii="Calibri" w:hAnsi="Calibri"/>
                <w:sz w:val="22"/>
              </w:rPr>
              <w:t>$0.436</w:t>
            </w:r>
          </w:p>
        </w:tc>
        <w:tc>
          <w:tcPr>
            <w:tcW w:type="dxa" w:w="1440"/>
          </w:tcPr>
          <w:p>
            <w:r>
              <w:rPr>
                <w:rFonts w:ascii="Calibri" w:hAnsi="Calibri"/>
                <w:sz w:val="22"/>
              </w:rPr>
              <w:t>+39.9%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LT Net Flows</w:t>
            </w:r>
          </w:p>
        </w:tc>
        <w:tc>
          <w:tcPr>
            <w:tcW w:type="dxa" w:w="1440"/>
          </w:tcPr>
          <w:p>
            <w:r>
              <w:rPr>
                <w:rFonts w:ascii="Calibri" w:hAnsi="Calibri"/>
                <w:sz w:val="22"/>
              </w:rPr>
              <w:t>$28.9B</w:t>
            </w:r>
          </w:p>
        </w:tc>
        <w:tc>
          <w:tcPr>
            <w:tcW w:type="dxa" w:w="1440"/>
          </w:tcPr>
          <w:p>
            <w:r>
              <w:rPr>
                <w:rFonts w:ascii="Calibri" w:hAnsi="Calibri"/>
                <w:sz w:val="22"/>
              </w:rPr>
              <w:t>$27.4B</w:t>
            </w:r>
          </w:p>
        </w:tc>
        <w:tc>
          <w:tcPr>
            <w:tcW w:type="dxa" w:w="1440"/>
          </w:tcPr>
          <w:p>
            <w:r>
              <w:rPr>
                <w:rFonts w:ascii="Calibri" w:hAnsi="Calibri"/>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$0.36</w:t>
            </w:r>
          </w:p>
        </w:tc>
        <w:tc>
          <w:tcPr>
            <w:tcW w:type="dxa" w:w="1440"/>
          </w:tcPr>
          <w:p>
            <w:r>
              <w:rPr>
                <w:rFonts w:ascii="Calibri" w:hAnsi="Calibri"/>
                <w:sz w:val="22"/>
              </w:rPr>
              <w:t>$0.408</w:t>
            </w:r>
          </w:p>
        </w:tc>
        <w:tc>
          <w:tcPr>
            <w:tcW w:type="dxa" w:w="1440"/>
          </w:tcPr>
          <w:p>
            <w:r>
              <w:rPr>
                <w:rFonts w:ascii="Calibri" w:hAnsi="Calibri"/>
                <w:sz w:val="22"/>
              </w:rPr>
              <w:t>-11.8%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LT Net Flows</w:t>
            </w:r>
          </w:p>
        </w:tc>
        <w:tc>
          <w:tcPr>
            <w:tcW w:type="dxa" w:w="1440"/>
          </w:tcPr>
          <w:p>
            <w:r>
              <w:rPr>
                <w:rFonts w:ascii="Calibri" w:hAnsi="Calibri"/>
                <w:sz w:val="22"/>
              </w:rPr>
              <w:t>$15.6B</w:t>
            </w:r>
          </w:p>
        </w:tc>
        <w:tc>
          <w:tcPr>
            <w:tcW w:type="dxa" w:w="1440"/>
          </w:tcPr>
          <w:p>
            <w:r>
              <w:rPr>
                <w:rFonts w:ascii="Calibri" w:hAnsi="Calibri"/>
                <w:sz w:val="22"/>
              </w:rPr>
              <w:t>$13.9B</w:t>
            </w:r>
          </w:p>
        </w:tc>
        <w:tc>
          <w:tcPr>
            <w:tcW w:type="dxa" w:w="1440"/>
          </w:tcPr>
          <w:p>
            <w:r>
              <w:rPr>
                <w:rFonts w:ascii="Calibri" w:hAnsi="Calibri"/>
                <w:sz w:val="22"/>
              </w:rPr>
              <w:t>+12.2%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IVZ has beaten on LT Net Flows in 3 of the last 4 quarters, demonstrating consistent organic growth momentum. EPS has been more mixed — a large beat in Q3 2025 (partly driven by QQQ reclassification timing), a solid beat in Q4 2025, but a slight miss in Q1 2026 and Q2 2025, suggesting the Street has learned to set a tighter EPS bar. Flows are the more reliable beat driver.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been </w:t>
      </w:r>
      <w:r>
        <w:rPr>
          <w:rFonts w:ascii="Calibri" w:hAnsi="Calibri"/>
          <w:b/>
          <w:color w:val="525866"/>
          <w:sz w:val="22"/>
        </w:rPr>
        <w:t>consistently confident</w:t>
      </w:r>
      <w:r>
        <w:rPr>
          <w:rFonts w:ascii="Calibri" w:hAnsi="Calibri"/>
          <w:color w:val="525866"/>
          <w:sz w:val="22"/>
        </w:rPr>
        <w:t xml:space="preserve"> since the Q1 print, with no formal guidance revisions but meaningful positive data points disclosed at two investor conferences (Bernstein in May, Morgan Stanley in June) that effectively raised the bar on AUM and flows.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Expenses</w:t>
            </w:r>
          </w:p>
        </w:tc>
        <w:tc>
          <w:tcPr>
            <w:tcW w:type="dxa" w:w="1728"/>
          </w:tcPr>
          <w:p>
            <w:r>
              <w:rPr>
                <w:rFonts w:ascii="Calibri" w:hAnsi="Calibri"/>
                <w:sz w:val="22"/>
              </w:rPr>
              <w:t>~$3.275B (flat markets from ~$2.3T AUM)</w:t>
            </w:r>
          </w:p>
        </w:tc>
        <w:tc>
          <w:tcPr>
            <w:tcW w:type="dxa" w:w="1728"/>
          </w:tcPr>
          <w:p>
            <w:r>
              <w:rPr>
                <w:rFonts w:ascii="Calibri" w:hAnsi="Calibri"/>
                <w:sz w:val="22"/>
              </w:rPr>
            </w:r>
          </w:p>
        </w:tc>
        <w:tc>
          <w:tcPr>
            <w:tcW w:type="dxa" w:w="1728"/>
          </w:tcPr>
          <w:p>
            <w:r>
              <w:rPr>
                <w:rFonts w:ascii="Calibri" w:hAnsi="Calibri"/>
                <w:sz w:val="22"/>
              </w:rPr>
              <w:t>$3.378B</w:t>
            </w:r>
          </w:p>
        </w:tc>
        <w:tc>
          <w:tcPr>
            <w:tcW w:type="dxa" w:w="1728"/>
          </w:tcPr>
          <w:p>
            <w:r>
              <w:rPr>
                <w:rFonts w:ascii="Calibri" w:hAnsi="Calibri"/>
                <w:sz w:val="22"/>
              </w:rPr>
              <w:t>Unchanged; AUM now ~$2.47T, above guidance base — variable comp will be higher</w:t>
            </w:r>
          </w:p>
        </w:tc>
      </w:tr>
      <w:tr>
        <w:tc>
          <w:tcPr>
            <w:tcW w:type="dxa" w:w="1728"/>
          </w:tcPr>
          <w:p>
            <w:r>
              <w:rPr>
                <w:rFonts w:ascii="Calibri" w:hAnsi="Calibri"/>
                <w:sz w:val="22"/>
              </w:rPr>
              <w:t>Q2 2026 Non-GAAP Tax Rate</w:t>
            </w:r>
          </w:p>
        </w:tc>
        <w:tc>
          <w:tcPr>
            <w:tcW w:type="dxa" w:w="1728"/>
          </w:tcPr>
          <w:p>
            <w:r>
              <w:rPr>
                <w:rFonts w:ascii="Calibri" w:hAnsi="Calibri"/>
                <w:sz w:val="22"/>
              </w:rPr>
              <w:t>25%–26% (excl. discrete items)</w:t>
            </w:r>
          </w:p>
        </w:tc>
        <w:tc>
          <w:tcPr>
            <w:tcW w:type="dxa" w:w="1728"/>
          </w:tcPr>
          <w:p>
            <w:r>
              <w:rPr>
                <w:rFonts w:ascii="Calibri" w:hAnsi="Calibri"/>
                <w:sz w:val="22"/>
              </w:rPr>
            </w:r>
          </w:p>
        </w:tc>
        <w:tc>
          <w:tcPr>
            <w:tcW w:type="dxa" w:w="1728"/>
          </w:tcPr>
          <w:p>
            <w:r>
              <w:rPr>
                <w:rFonts w:ascii="Calibri" w:hAnsi="Calibri"/>
                <w:sz w:val="22"/>
              </w:rPr>
              <w:t>N/A (not tracked separately)</w:t>
            </w:r>
          </w:p>
        </w:tc>
        <w:tc>
          <w:tcPr>
            <w:tcW w:type="dxa" w:w="1728"/>
          </w:tcPr>
          <w:p>
            <w:r>
              <w:rPr>
                <w:rFonts w:ascii="Calibri" w:hAnsi="Calibri"/>
                <w:sz w:val="22"/>
              </w:rPr>
              <w:t>Unchanged; consistent with prior quarters</w:t>
            </w:r>
          </w:p>
        </w:tc>
      </w:tr>
      <w:tr>
        <w:tc>
          <w:tcPr>
            <w:tcW w:type="dxa" w:w="1728"/>
          </w:tcPr>
          <w:p>
            <w:r>
              <w:rPr>
                <w:rFonts w:ascii="Calibri" w:hAnsi="Calibri"/>
                <w:sz w:val="22"/>
              </w:rPr>
              <w:t>Operating Margin Path</w:t>
            </w:r>
          </w:p>
        </w:tc>
        <w:tc>
          <w:tcPr>
            <w:tcW w:type="dxa" w:w="1728"/>
          </w:tcPr>
          <w:p>
            <w:r>
              <w:rPr>
                <w:rFonts w:ascii="Calibri" w:hAnsi="Calibri"/>
                <w:sz w:val="22"/>
              </w:rPr>
              <w:t>Mid-30s near-term; high-30s long-term</w:t>
            </w:r>
          </w:p>
        </w:tc>
        <w:tc>
          <w:tcPr>
            <w:tcW w:type="dxa" w:w="1728"/>
          </w:tcPr>
          <w:p>
            <w:r>
              <w:rPr>
                <w:rFonts w:ascii="Calibri" w:hAnsi="Calibri"/>
                <w:sz w:val="22"/>
              </w:rPr>
            </w:r>
          </w:p>
        </w:tc>
        <w:tc>
          <w:tcPr>
            <w:tcW w:type="dxa" w:w="1728"/>
          </w:tcPr>
          <w:p>
            <w:r>
              <w:rPr>
                <w:rFonts w:ascii="Calibri" w:hAnsi="Calibri"/>
                <w:sz w:val="22"/>
              </w:rPr>
              <w:t>~36.6% Q2 implied (Op. Inc. / Rev.)</w:t>
            </w:r>
          </w:p>
        </w:tc>
        <w:tc>
          <w:tcPr>
            <w:tcW w:type="dxa" w:w="1728"/>
          </w:tcPr>
          <w:p>
            <w:r>
              <w:rPr>
                <w:rFonts w:ascii="Calibri" w:hAnsi="Calibri"/>
                <w:sz w:val="22"/>
              </w:rPr>
              <w:t>Reiterated at Morgan Stanley Conference (Jun 10); Q1 was seasonally low at 34.5%</w:t>
            </w:r>
          </w:p>
        </w:tc>
      </w:tr>
      <w:tr>
        <w:tc>
          <w:tcPr>
            <w:tcW w:type="dxa" w:w="1728"/>
          </w:tcPr>
          <w:p>
            <w:r>
              <w:rPr>
                <w:rFonts w:ascii="Calibri" w:hAnsi="Calibri"/>
                <w:sz w:val="22"/>
              </w:rPr>
              <w:t>QQQ Marketing Budget</w:t>
            </w:r>
          </w:p>
        </w:tc>
        <w:tc>
          <w:tcPr>
            <w:tcW w:type="dxa" w:w="1728"/>
          </w:tcPr>
          <w:p>
            <w:r>
              <w:rPr>
                <w:rFonts w:ascii="Calibri" w:hAnsi="Calibri"/>
                <w:sz w:val="22"/>
              </w:rPr>
              <w:t>$60M–$100M (fully discretionary, in run rate)</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Reiterated at Bernstein Conference (May 27); management has full discretion to deploy</w:t>
            </w:r>
          </w:p>
        </w:tc>
      </w:tr>
      <w:tr>
        <w:tc>
          <w:tcPr>
            <w:tcW w:type="dxa" w:w="1728"/>
          </w:tcPr>
          <w:p>
            <w:r>
              <w:rPr>
                <w:rFonts w:ascii="Calibri" w:hAnsi="Calibri"/>
                <w:sz w:val="22"/>
              </w:rPr>
              <w:t>Canada Partnership (CI Financial)</w:t>
            </w:r>
          </w:p>
        </w:tc>
        <w:tc>
          <w:tcPr>
            <w:tcW w:type="dxa" w:w="1728"/>
          </w:tcPr>
          <w:p>
            <w:r>
              <w:rPr>
                <w:rFonts w:ascii="Calibri" w:hAnsi="Calibri"/>
                <w:sz w:val="22"/>
              </w:rPr>
              <w:t>Close end of Q2 2026; ~$19B AUM transition; -$5M to -$10M/qtr OI impact in Q3/Q4</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Expected to close as guided; modest Q3/Q4 headwind now in estimates</w:t>
            </w:r>
          </w:p>
        </w:tc>
      </w:tr>
      <w:tr>
        <w:tc>
          <w:tcPr>
            <w:tcW w:type="dxa" w:w="1728"/>
          </w:tcPr>
          <w:p>
            <w:r>
              <w:rPr>
                <w:rFonts w:ascii="Calibri" w:hAnsi="Calibri"/>
                <w:sz w:val="22"/>
              </w:rPr>
              <w:t>Hybrid Platform (Alpha NextGen) Costs</w:t>
            </w:r>
          </w:p>
        </w:tc>
        <w:tc>
          <w:tcPr>
            <w:tcW w:type="dxa" w:w="1728"/>
          </w:tcPr>
          <w:p>
            <w:r>
              <w:rPr>
                <w:rFonts w:ascii="Calibri" w:hAnsi="Calibri"/>
                <w:sz w:val="22"/>
              </w:rPr>
              <w:t>$10M–$15M/qtr implementation; complete by year-end 2026; ≥$60M savings in 2027</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On track; reiterated at Bernstein (May 27); incremental AUM-on-platform costs building to ~$10M/qtr</w:t>
            </w:r>
          </w:p>
        </w:tc>
      </w:tr>
      <w:tr>
        <w:tc>
          <w:tcPr>
            <w:tcW w:type="dxa" w:w="1728"/>
          </w:tcPr>
          <w:p>
            <w:r>
              <w:rPr>
                <w:rFonts w:ascii="Calibri" w:hAnsi="Calibri"/>
                <w:sz w:val="22"/>
              </w:rPr>
              <w:t>Capital Return (Buyback)</w:t>
            </w:r>
          </w:p>
        </w:tc>
        <w:tc>
          <w:tcPr>
            <w:tcW w:type="dxa" w:w="1728"/>
          </w:tcPr>
          <w:p>
            <w:r>
              <w:rPr>
                <w:rFonts w:ascii="Calibri" w:hAnsi="Calibri"/>
                <w:sz w:val="22"/>
              </w:rPr>
              <w:t>$40M/qtr buyback; ~60% total payout ratio target for 2026</w:t>
            </w:r>
          </w:p>
        </w:tc>
        <w:tc>
          <w:tcPr>
            <w:tcW w:type="dxa" w:w="1728"/>
          </w:tcPr>
          <w:p>
            <w:r>
              <w:rPr>
                <w:rFonts w:ascii="Calibri" w:hAnsi="Calibri"/>
                <w:sz w:val="22"/>
              </w:rPr>
            </w:r>
          </w:p>
        </w:tc>
        <w:tc>
          <w:tcPr>
            <w:tcW w:type="dxa" w:w="1728"/>
          </w:tcPr>
          <w:p>
            <w:r>
              <w:rPr>
                <w:rFonts w:ascii="Calibri" w:hAnsi="Calibri"/>
                <w:sz w:val="22"/>
              </w:rPr>
              <w:t>N/A</w:t>
            </w:r>
          </w:p>
        </w:tc>
        <w:tc>
          <w:tcPr>
            <w:tcW w:type="dxa" w:w="1728"/>
          </w:tcPr>
          <w:p>
            <w:r>
              <w:rPr>
                <w:rFonts w:ascii="Calibri" w:hAnsi="Calibri"/>
                <w:sz w:val="22"/>
              </w:rPr>
              <w:t>Unchanged; $1B buyback authorization in place; revolver paydown remains priority</w:t>
            </w:r>
          </w:p>
        </w:tc>
      </w:tr>
      <w:tr>
        <w:tc>
          <w:tcPr>
            <w:tcW w:type="dxa" w:w="1728"/>
          </w:tcPr>
          <w:p>
            <w:r>
              <w:rPr>
                <w:rFonts w:ascii="Calibri" w:hAnsi="Calibri"/>
                <w:sz w:val="22"/>
              </w:rPr>
              <w:t>AUM Flows (Intra-Quarter Disclosure)</w:t>
            </w:r>
          </w:p>
        </w:tc>
        <w:tc>
          <w:tcPr>
            <w:tcW w:type="dxa" w:w="1728"/>
          </w:tcPr>
          <w:p>
            <w:r>
              <w:rPr>
                <w:rFonts w:ascii="Calibri" w:hAnsi="Calibri"/>
                <w:sz w:val="22"/>
              </w:rPr>
              <w:t>April: ~$17–18B LT inflows; QQQ turned positive</w:t>
            </w:r>
          </w:p>
        </w:tc>
        <w:tc>
          <w:tcPr>
            <w:tcW w:type="dxa" w:w="1728"/>
          </w:tcPr>
          <w:p>
            <w:r>
              <w:rPr>
                <w:rFonts w:ascii="Calibri" w:hAnsi="Calibri"/>
                <w:sz w:val="22"/>
              </w:rPr>
              <w:t>May: ~$19B (Bernstein, May 27); June: $8.0B (8-K, Jul 10)</w:t>
            </w:r>
          </w:p>
        </w:tc>
        <w:tc>
          <w:tcPr>
            <w:tcW w:type="dxa" w:w="1728"/>
          </w:tcPr>
          <w:p>
            <w:r>
              <w:rPr>
                <w:rFonts w:ascii="Calibri" w:hAnsi="Calibri"/>
                <w:sz w:val="22"/>
              </w:rPr>
              <w:t>$44.9B Q2 consensus</w:t>
            </w:r>
          </w:p>
        </w:tc>
        <w:tc>
          <w:tcPr>
            <w:tcW w:type="dxa" w:w="1728"/>
          </w:tcPr>
          <w:p>
            <w:r>
              <w:rPr>
                <w:rFonts w:ascii="Calibri" w:hAnsi="Calibri"/>
                <w:sz w:val="22"/>
              </w:rPr>
              <w:t>↑ Positive intra-quarter disclosures at conferences; monthly 8-K confirmed strong Q2 total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meaningfully higher</w:t>
      </w:r>
      <w:r>
        <w:rPr>
          <w:rFonts w:ascii="Calibri" w:hAnsi="Calibri"/>
          <w:color w:val="525866"/>
          <w:sz w:val="22"/>
        </w:rPr>
        <w:t xml:space="preserve"> since the Q1 2026 print — Q2 EPS consensus is up ~10% and revenue up ~5% from the post-earnings baseline — reflecting the AUM and QQQ tailwind. The gap between current consensus and the initial guidance base suggests the Street has already partially priced in the upside, but the magnitude of QQQ-driven revenue growth may still leave room for a positive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(Q2 2026)</w:t>
            </w:r>
          </w:p>
        </w:tc>
        <w:tc>
          <w:tcPr>
            <w:tcW w:type="dxa" w:w="1080"/>
          </w:tcPr>
          <w:p>
            <w:r>
              <w:rPr>
                <w:rFonts w:ascii="Calibri" w:hAnsi="Calibri"/>
                <w:sz w:val="22"/>
              </w:rPr>
              <w:t>$0.605</w:t>
            </w:r>
          </w:p>
        </w:tc>
        <w:tc>
          <w:tcPr>
            <w:tcW w:type="dxa" w:w="1080"/>
          </w:tcPr>
          <w:p>
            <w:r>
              <w:rPr>
                <w:rFonts w:ascii="Calibri" w:hAnsi="Calibri"/>
                <w:sz w:val="22"/>
              </w:rPr>
              <w:t>$0.664</w:t>
            </w:r>
          </w:p>
        </w:tc>
        <w:tc>
          <w:tcPr>
            <w:tcW w:type="dxa" w:w="1080"/>
          </w:tcPr>
          <w:p>
            <w:r>
              <w:rPr>
                <w:rFonts w:ascii="Calibri" w:hAnsi="Calibri"/>
                <w:b/>
                <w:color w:val="30A46C"/>
                <w:sz w:val="22"/>
              </w:rPr>
              <w:t>+9.7%</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Operating (Q2 2026)</w:t>
            </w:r>
          </w:p>
        </w:tc>
        <w:tc>
          <w:tcPr>
            <w:tcW w:type="dxa" w:w="1080"/>
          </w:tcPr>
          <w:p>
            <w:r>
              <w:rPr>
                <w:rFonts w:ascii="Calibri" w:hAnsi="Calibri"/>
                <w:sz w:val="22"/>
              </w:rPr>
              <w:t>$1,269M</w:t>
            </w:r>
          </w:p>
        </w:tc>
        <w:tc>
          <w:tcPr>
            <w:tcW w:type="dxa" w:w="1080"/>
          </w:tcPr>
          <w:p>
            <w:r>
              <w:rPr>
                <w:rFonts w:ascii="Calibri" w:hAnsi="Calibri"/>
                <w:sz w:val="22"/>
              </w:rPr>
              <w:t>$1,333M</w:t>
            </w:r>
          </w:p>
        </w:tc>
        <w:tc>
          <w:tcPr>
            <w:tcW w:type="dxa" w:w="1080"/>
          </w:tcPr>
          <w:p>
            <w:r>
              <w:rPr>
                <w:rFonts w:ascii="Calibri" w:hAnsi="Calibri"/>
                <w:b/>
                <w:color w:val="30A46C"/>
                <w:sz w:val="22"/>
              </w:rPr>
              <w:t>+5.0%</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LT Net Flows (Q2 2026)</w:t>
            </w:r>
          </w:p>
        </w:tc>
        <w:tc>
          <w:tcPr>
            <w:tcW w:type="dxa" w:w="1080"/>
          </w:tcPr>
          <w:p>
            <w:r>
              <w:rPr>
                <w:rFonts w:ascii="Calibri" w:hAnsi="Calibri"/>
                <w:sz w:val="22"/>
              </w:rPr>
              <w:t>$27.0B</w:t>
            </w:r>
          </w:p>
        </w:tc>
        <w:tc>
          <w:tcPr>
            <w:tcW w:type="dxa" w:w="1080"/>
          </w:tcPr>
          <w:p>
            <w:r>
              <w:rPr>
                <w:rFonts w:ascii="Calibri" w:hAnsi="Calibri"/>
                <w:sz w:val="22"/>
              </w:rPr>
              <w:t>$44.9B</w:t>
            </w:r>
          </w:p>
        </w:tc>
        <w:tc>
          <w:tcPr>
            <w:tcW w:type="dxa" w:w="1080"/>
          </w:tcPr>
          <w:p>
            <w:r>
              <w:rPr>
                <w:rFonts w:ascii="Calibri" w:hAnsi="Calibri"/>
                <w:b/>
                <w:color w:val="30A46C"/>
                <w:sz w:val="22"/>
              </w:rPr>
              <w:t>+66.3%</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(FY 2026)</w:t>
            </w:r>
          </w:p>
        </w:tc>
        <w:tc>
          <w:tcPr>
            <w:tcW w:type="dxa" w:w="1080"/>
          </w:tcPr>
          <w:p>
            <w:r>
              <w:rPr>
                <w:rFonts w:ascii="Calibri" w:hAnsi="Calibri"/>
                <w:sz w:val="22"/>
              </w:rPr>
              <w:t>$2.567</w:t>
            </w:r>
          </w:p>
        </w:tc>
        <w:tc>
          <w:tcPr>
            <w:tcW w:type="dxa" w:w="1080"/>
          </w:tcPr>
          <w:p>
            <w:r>
              <w:rPr>
                <w:rFonts w:ascii="Calibri" w:hAnsi="Calibri"/>
                <w:sz w:val="22"/>
              </w:rPr>
              <w:t>$2.852</w:t>
            </w:r>
          </w:p>
        </w:tc>
        <w:tc>
          <w:tcPr>
            <w:tcW w:type="dxa" w:w="1080"/>
          </w:tcPr>
          <w:p>
            <w:r>
              <w:rPr>
                <w:rFonts w:ascii="Calibri" w:hAnsi="Calibri"/>
                <w:b/>
                <w:color w:val="30A46C"/>
                <w:sz w:val="22"/>
              </w:rPr>
              <w:t>+11.1%</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Operating (FY 2026)</w:t>
            </w:r>
          </w:p>
        </w:tc>
        <w:tc>
          <w:tcPr>
            <w:tcW w:type="dxa" w:w="1080"/>
          </w:tcPr>
          <w:p>
            <w:r>
              <w:rPr>
                <w:rFonts w:ascii="Calibri" w:hAnsi="Calibri"/>
                <w:sz w:val="22"/>
              </w:rPr>
              <w:t>$5,179M</w:t>
            </w:r>
          </w:p>
        </w:tc>
        <w:tc>
          <w:tcPr>
            <w:tcW w:type="dxa" w:w="1080"/>
          </w:tcPr>
          <w:p>
            <w:r>
              <w:rPr>
                <w:rFonts w:ascii="Calibri" w:hAnsi="Calibri"/>
                <w:sz w:val="22"/>
              </w:rPr>
              <w:t>$5,441M</w:t>
            </w:r>
          </w:p>
        </w:tc>
        <w:tc>
          <w:tcPr>
            <w:tcW w:type="dxa" w:w="1080"/>
          </w:tcPr>
          <w:p>
            <w:r>
              <w:rPr>
                <w:rFonts w:ascii="Calibri" w:hAnsi="Calibri"/>
                <w:b/>
                <w:color w:val="30A46C"/>
                <w:sz w:val="22"/>
              </w:rPr>
              <w:t>+5.1%</w:t>
            </w:r>
          </w:p>
        </w:tc>
        <w:tc>
          <w:tcPr>
            <w:tcW w:type="dxa" w:w="1080"/>
          </w:tcPr>
          <w:p>
            <w:r>
              <w:rPr>
                <w:rFonts w:ascii="Calibri" w:hAnsi="Calibri"/>
                <w:sz w:val="22"/>
              </w:rPr>
              <w:t>Opex ~$3.275B</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N/A (revenue not guided)</w:t>
            </w:r>
          </w:p>
        </w:tc>
      </w:tr>
      <w:tr>
        <w:tc>
          <w:tcPr>
            <w:tcW w:type="dxa" w:w="1080"/>
          </w:tcPr>
          <w:p>
            <w:r>
              <w:rPr>
                <w:rFonts w:ascii="Calibri" w:hAnsi="Calibri"/>
                <w:sz w:val="22"/>
              </w:rPr>
              <w:t>Total Opex - Operating (FY 2026)</w:t>
            </w:r>
          </w:p>
        </w:tc>
        <w:tc>
          <w:tcPr>
            <w:tcW w:type="dxa" w:w="1080"/>
          </w:tcPr>
          <w:p>
            <w:r>
              <w:rPr>
                <w:rFonts w:ascii="Calibri" w:hAnsi="Calibri"/>
                <w:sz w:val="22"/>
              </w:rPr>
              <w:t>$3,295M</w:t>
            </w:r>
          </w:p>
        </w:tc>
        <w:tc>
          <w:tcPr>
            <w:tcW w:type="dxa" w:w="1080"/>
          </w:tcPr>
          <w:p>
            <w:r>
              <w:rPr>
                <w:rFonts w:ascii="Calibri" w:hAnsi="Calibri"/>
                <w:sz w:val="22"/>
              </w:rPr>
              <w:t>$3,378M</w:t>
            </w:r>
          </w:p>
        </w:tc>
        <w:tc>
          <w:tcPr>
            <w:tcW w:type="dxa" w:w="1080"/>
          </w:tcPr>
          <w:p>
            <w:r>
              <w:rPr>
                <w:rFonts w:ascii="Calibri" w:hAnsi="Calibri"/>
                <w:b/>
                <w:color w:val="E5484D"/>
                <w:sz w:val="22"/>
              </w:rPr>
              <w:t>+2.5%</w:t>
            </w:r>
          </w:p>
        </w:tc>
        <w:tc>
          <w:tcPr>
            <w:tcW w:type="dxa" w:w="1080"/>
          </w:tcPr>
          <w:p>
            <w:r>
              <w:rPr>
                <w:rFonts w:ascii="Calibri" w:hAnsi="Calibri"/>
                <w:sz w:val="22"/>
              </w:rPr>
              <w:t>~$3,275M</w:t>
            </w:r>
          </w:p>
        </w:tc>
        <w:tc>
          <w:tcPr>
            <w:tcW w:type="dxa" w:w="1080"/>
          </w:tcPr>
          <w:p>
            <w:r>
              <w:rPr>
                <w:rFonts w:ascii="Calibri" w:hAnsi="Calibri"/>
                <w:sz w:val="22"/>
              </w:rPr>
              <w:t>~$3,275M (unchanged)</w:t>
            </w:r>
          </w:p>
        </w:tc>
        <w:tc>
          <w:tcPr>
            <w:tcW w:type="dxa" w:w="1080"/>
          </w:tcPr>
          <w:p>
            <w:r>
              <w:rPr>
                <w:rFonts w:ascii="Calibri" w:hAnsi="Calibri"/>
                <w:sz w:val="22"/>
              </w:rPr>
              <w:t>Flat</w:t>
            </w:r>
          </w:p>
        </w:tc>
        <w:tc>
          <w:tcPr>
            <w:tcW w:type="dxa" w:w="1080"/>
          </w:tcPr>
          <w:p>
            <w:r>
              <w:rPr>
                <w:rFonts w:ascii="Calibri" w:hAnsi="Calibri"/>
                <w:sz w:val="22"/>
              </w:rPr>
              <w:t>+3.1% above guidance</w:t>
            </w:r>
          </w:p>
        </w:tc>
      </w:tr>
    </w:tbl>
    <w:p>
      <w:r>
        <w:rPr>
          <w:rFonts w:ascii="Calibri" w:hAnsi="Calibri"/>
          <w:color w:val="525866"/>
          <w:sz w:val="22"/>
        </w:rPr>
        <w:t>The large upward revision in Q2 LT Net Flows consensus (+66% from the post-earnings baseline) reflects intra-quarter disclosures at investor conferences and the monthly AUM 8-K releases. The FY 2026 opex consensus running ~3% above guidance midpoint reflects the variable compensation component tied to higher AUM and revenues — this is expected and not a concern, as the revenue upside more than offsets it.</w:t>
      </w:r>
    </w:p>
    <w:p>
      <w:r>
        <w:rPr>
          <w:rFonts w:ascii="Calibri" w:hAnsi="Calibri"/>
          <w:i/>
          <w:color w:val="525866"/>
          <w:sz w:val="22"/>
        </w:rPr>
        <w:t>Source: Visible Alpha consensus and actuals data (as-of date: May 5, 2026 for baseline; latest for current). Guidance from Q1 2026 earnings call (April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IVZ has rallied </w:t>
      </w:r>
      <w:r>
        <w:rPr>
          <w:rFonts w:ascii="Calibri" w:hAnsi="Calibri"/>
          <w:b/>
          <w:color w:val="525866"/>
          <w:sz w:val="22"/>
        </w:rPr>
        <w:t>~16% since Q1 earnings</w:t>
      </w:r>
      <w:r>
        <w:rPr>
          <w:rFonts w:ascii="Calibri" w:hAnsi="Calibri"/>
          <w:color w:val="525866"/>
          <w:sz w:val="22"/>
        </w:rPr>
        <w:t xml:space="preserve"> (vs. S&amp;P 500 +4%, KIE +12%), driven by a combination of </w:t>
      </w:r>
      <w:r>
        <w:rPr>
          <w:rFonts w:ascii="Calibri" w:hAnsi="Calibri"/>
          <w:b/>
          <w:color w:val="525866"/>
          <w:sz w:val="22"/>
        </w:rPr>
        <w:t>strong AUM inflow disclosures</w:t>
      </w:r>
      <w:r>
        <w:rPr>
          <w:rFonts w:ascii="Calibri" w:hAnsi="Calibri"/>
          <w:color w:val="525866"/>
          <w:sz w:val="22"/>
        </w:rPr>
        <w:t xml:space="preserve"> at investor conferences and </w:t>
      </w:r>
      <w:r>
        <w:rPr>
          <w:rFonts w:ascii="Calibri" w:hAnsi="Calibri"/>
          <w:b/>
          <w:color w:val="525866"/>
          <w:sz w:val="22"/>
        </w:rPr>
        <w:t>upward estimate revisions</w:t>
      </w:r>
      <w:r>
        <w:rPr>
          <w:rFonts w:ascii="Calibri" w:hAnsi="Calibri"/>
          <w:color w:val="525866"/>
          <w:sz w:val="22"/>
        </w:rPr>
        <w:t xml:space="preserve"> — the outperformance is fundamentally supported, though the stock's run means a beat is partially priced in heading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IVZ vs. KIE (Insurance ETF) vs. S&amp;P 500 (SPY) — Indexed to 100 at Q1 2026 Earnings (April 28, 2026). IVZ: +16.4% | KIE: +11.5% | SPY: +3.8%</w:t>
      </w:r>
    </w:p>
    <w:p>
      <w:r>
        <w:rPr>
          <w:rFonts w:ascii="Calibri" w:hAnsi="Calibri"/>
          <w:b/>
          <w:color w:val="525866"/>
          <w:sz w:val="22"/>
        </w:rPr>
        <w:t xml:space="preserve">Sector ETF used: </w:t>
      </w:r>
      <w:r>
        <w:rPr>
          <w:rFonts w:ascii="Calibri" w:hAnsi="Calibri"/>
          <w:color w:val="525866"/>
          <w:sz w:val="22"/>
        </w:rPr>
        <w:t>KIE (SPDR S&amp;P Insurance ETF) — selected as the closest available financial sector ETF proxy for asset managers/diversified financials. Note: a dedicated asset manager ETF (e.g., IAI) would be more precise but KIE captures the broader financial services sentiment.</w:t>
      </w:r>
    </w:p>
    <w:p>
      <w:r>
        <w:rPr>
          <w:rFonts w:ascii="Calibri" w:hAnsi="Calibri"/>
          <w:color w:val="525866"/>
          <w:sz w:val="22"/>
        </w:rPr>
        <w:t>Key events driving performance since April 28, 2026:</w:t>
      </w:r>
    </w:p>
    <w:p>
      <w:pPr>
        <w:pStyle w:val="ListBullet"/>
        <w:ind w:left="360" w:hanging="360"/>
      </w:pPr>
      <w:r>
        <w:rPr>
          <w:rFonts w:ascii="Calibri" w:hAnsi="Calibri"/>
          <w:b/>
          <w:color w:val="525866"/>
          <w:sz w:val="22"/>
        </w:rPr>
        <w:t>May 11, 2026 — April AUM 8-K:</w:t>
      </w:r>
      <w:r>
        <w:rPr>
          <w:rFonts w:ascii="Calibri" w:hAnsi="Calibri"/>
          <w:color w:val="525866"/>
          <w:sz w:val="22"/>
        </w:rPr>
        <w:t xml:space="preserve"> Invesco disclosed April AUM of $2,339.4B (+8.3% MoM) and $18.2B of net long-term inflows; QQQ AUM surged to $440.3B from $372.5B. Stock rallied sharply in the days following.</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Schlossberg disclosed May flows at "a pretty good pace" (~$19B), reiterated high-30s margin path, and provided detailed QQQ competitive moat defense. Positive catalyst for the stock.</w:t>
      </w:r>
    </w:p>
    <w:p>
      <w:pPr>
        <w:pStyle w:val="ListBullet"/>
        <w:ind w:left="360" w:hanging="360"/>
      </w:pPr>
      <w:r>
        <w:rPr>
          <w:rFonts w:ascii="Calibri" w:hAnsi="Calibri"/>
          <w:b/>
          <w:color w:val="525866"/>
          <w:sz w:val="22"/>
        </w:rPr>
        <w:t>June 10, 2026 — Morgan Stanley U.S. Financials Conference:</w:t>
      </w:r>
      <w:r>
        <w:rPr>
          <w:rFonts w:ascii="Calibri" w:hAnsi="Calibri"/>
          <w:color w:val="525866"/>
          <w:sz w:val="22"/>
        </w:rPr>
        <w:t xml:space="preserve"> CFO Dukes disclosed QQQ AUM up ~$120B in first two months of Q2, described revenue growth as "massive," and reiterated margin confidence. Stock reached multi-month highs in mid-June.</w:t>
      </w:r>
    </w:p>
    <w:p>
      <w:pPr>
        <w:pStyle w:val="ListBullet"/>
        <w:ind w:left="360" w:hanging="360"/>
      </w:pPr>
      <w:r>
        <w:rPr>
          <w:rFonts w:ascii="Calibri" w:hAnsi="Calibri"/>
          <w:b/>
          <w:color w:val="525866"/>
          <w:sz w:val="22"/>
        </w:rPr>
        <w:t>June 23–25, 2026 — Pullback:</w:t>
      </w:r>
      <w:r>
        <w:rPr>
          <w:rFonts w:ascii="Calibri" w:hAnsi="Calibri"/>
          <w:color w:val="525866"/>
          <w:sz w:val="22"/>
        </w:rPr>
        <w:t xml:space="preserve"> IVZ pulled back ~11% from mid-June highs, likely reflecting profit-taking and broader market rotation; stock recovered through July.</w:t>
      </w:r>
    </w:p>
    <w:p>
      <w:pPr>
        <w:pStyle w:val="ListBullet"/>
        <w:ind w:left="360" w:hanging="360"/>
      </w:pPr>
      <w:r>
        <w:rPr>
          <w:rFonts w:ascii="Calibri" w:hAnsi="Calibri"/>
          <w:b/>
          <w:color w:val="525866"/>
          <w:sz w:val="22"/>
        </w:rPr>
        <w:t>July 10, 2026 — June AUM 8-K:</w:t>
      </w:r>
      <w:r>
        <w:rPr>
          <w:rFonts w:ascii="Calibri" w:hAnsi="Calibri"/>
          <w:color w:val="525866"/>
          <w:sz w:val="22"/>
        </w:rPr>
        <w:t xml:space="preserve"> Invesco disclosed June AUM of $2,470.3B and $8.0B of net long-term inflows for June, confirming strong Q2 total. Stock resumed its upward trend, reaching ~$30 by mid-July.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QQQ AUM surge of ~$120B in the first two months of Q2</w:t>
      </w:r>
      <w:r>
        <w:rPr>
          <w:rFonts w:ascii="Calibri" w:hAnsi="Calibri"/>
          <w:color w:val="525866"/>
          <w:sz w:val="22"/>
        </w:rPr>
        <w:t>, driven by AI-trade demand and anticipated IPO activity — this is the single biggest driver of Q2 revenue upside and the primary reason estimates have moved higher.</w:t>
      </w:r>
    </w:p>
    <w:p>
      <w:pPr>
        <w:pStyle w:val="ListBullet"/>
        <w:ind w:left="360" w:hanging="360"/>
      </w:pPr>
      <w:r>
        <w:rPr>
          <w:rFonts w:ascii="Calibri" w:hAnsi="Calibri"/>
          <w:b/>
          <w:color w:val="525866"/>
          <w:sz w:val="22"/>
        </w:rPr>
        <w:t>July 10, 2026 — June AUM 8-K (Invesco):</w:t>
      </w:r>
      <w:r>
        <w:rPr>
          <w:rFonts w:ascii="Calibri" w:hAnsi="Calibri"/>
          <w:color w:val="525866"/>
          <w:sz w:val="22"/>
        </w:rPr>
        <w:t xml:space="preserve"> Preliminary AUM of $2,470.3B as of June 30, up 0.7% MoM and 14.4% from Q1-end. Net long-term inflows of $8.0B in June; money market inflows of $14.3B. Preliminary average total AUM for Q2 was $2,368.8B. </w:t>
      </w:r>
    </w:p>
    <w:p>
      <w:pPr>
        <w:pStyle w:val="ListBullet"/>
        <w:ind w:left="360" w:hanging="360"/>
      </w:pPr>
      <w:r>
        <w:rPr>
          <w:rFonts w:ascii="Calibri" w:hAnsi="Calibri"/>
          <w:i/>
          <w:color w:val="525866"/>
          <w:sz w:val="22"/>
        </w:rPr>
        <w:t>Implication:</w:t>
      </w:r>
      <w:r>
        <w:rPr>
          <w:rFonts w:ascii="Calibri" w:hAnsi="Calibri"/>
          <w:color w:val="525866"/>
          <w:sz w:val="22"/>
        </w:rPr>
        <w:t xml:space="preserve"> Average AUM of $2,369B is the revenue driver for Q2; this is well above the ~$2.3T guidance base, supporting a revenue beat.</w:t>
      </w:r>
    </w:p>
    <w:p>
      <w:pPr>
        <w:pStyle w:val="ListBullet"/>
        <w:ind w:left="360" w:hanging="360"/>
      </w:pPr>
      <w:r>
        <w:rPr>
          <w:rFonts w:ascii="Calibri" w:hAnsi="Calibri"/>
          <w:b/>
          <w:color w:val="525866"/>
          <w:sz w:val="22"/>
        </w:rPr>
        <w:t>June 10, 2026 — Morgan Stanley U.S. Financials Conference:</w:t>
      </w:r>
      <w:r>
        <w:rPr>
          <w:rFonts w:ascii="Calibri" w:hAnsi="Calibri"/>
          <w:color w:val="525866"/>
          <w:sz w:val="22"/>
        </w:rPr>
        <w:t xml:space="preserve"> CFO Allison Dukes disclosed QQQ AUM grew ~$120B in the first two months of Q2 (April + May), driven by AI-trade demand and anticipated IPO activity. Described Q2 revenue growth as "massive." Reiterated 34.5% Q1 operating margin as seasonally low, with confidence in high-30s path. Also flagged AI token costs as an emerging headwind requiring active procurement management.</w:t>
      </w:r>
    </w:p>
    <w:p>
      <w:pPr>
        <w:pStyle w:val="ListBullet"/>
        <w:ind w:left="360" w:hanging="360"/>
      </w:pPr>
      <w:r>
        <w:rPr>
          <w:rFonts w:ascii="Calibri" w:hAnsi="Calibri"/>
          <w:i/>
          <w:color w:val="525866"/>
          <w:sz w:val="22"/>
        </w:rPr>
        <w:t>Implication:</w:t>
      </w:r>
      <w:r>
        <w:rPr>
          <w:rFonts w:ascii="Calibri" w:hAnsi="Calibri"/>
          <w:color w:val="525866"/>
          <w:sz w:val="22"/>
        </w:rPr>
        <w:t xml:space="preserve"> Strongest positive intra-quarter signal; effectively pre-announced a strong Q2 revenue quarter.</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Andrew Schlossberg disclosed May flows at ~$19B (following April's ~$18B), confirmed QQQ suite at ~$600B globally, reiterated $60M–$100M QQQ marketing budget, and provided detailed defense of QQQ competitive moat (liquidity, tax basis, brand, MFN licensing parity). Also confirmed LGT Capital partnership first close targeted for back half of 2026.</w:t>
      </w:r>
    </w:p>
    <w:p>
      <w:pPr>
        <w:pStyle w:val="ListBullet"/>
        <w:ind w:left="360" w:hanging="360"/>
      </w:pPr>
      <w:r>
        <w:rPr>
          <w:rFonts w:ascii="Calibri" w:hAnsi="Calibri"/>
          <w:i/>
          <w:color w:val="525866"/>
          <w:sz w:val="22"/>
        </w:rPr>
        <w:t>Implication:</w:t>
      </w:r>
      <w:r>
        <w:rPr>
          <w:rFonts w:ascii="Calibri" w:hAnsi="Calibri"/>
          <w:color w:val="525866"/>
          <w:sz w:val="22"/>
        </w:rPr>
        <w:t xml:space="preserve"> Positive flow momentum confirmed mid-quarter; QQQ competitive narrative stabilizing.</w:t>
      </w:r>
    </w:p>
    <w:p>
      <w:pPr>
        <w:pStyle w:val="ListBullet"/>
        <w:ind w:left="360" w:hanging="360"/>
      </w:pPr>
      <w:r>
        <w:rPr>
          <w:rFonts w:ascii="Calibri" w:hAnsi="Calibri"/>
          <w:b/>
          <w:color w:val="525866"/>
          <w:sz w:val="22"/>
        </w:rPr>
        <w:t>May 11, 2026 — April AUM 8-K:</w:t>
      </w:r>
      <w:r>
        <w:rPr>
          <w:rFonts w:ascii="Calibri" w:hAnsi="Calibri"/>
          <w:color w:val="525866"/>
          <w:sz w:val="22"/>
        </w:rPr>
        <w:t xml:space="preserve"> April AUM of $2,339.4B (+8.3% MoM), with $18.2B of net long-term inflows. QQQ AUM surged to $440.3B from $372.5B at Q1-end (+$67.8B in one month). ETF &amp; Index AUM reached $701.4B.</w:t>
      </w:r>
    </w:p>
    <w:p>
      <w:pPr>
        <w:pStyle w:val="ListBullet"/>
        <w:ind w:left="360" w:hanging="360"/>
      </w:pPr>
      <w:r>
        <w:rPr>
          <w:rFonts w:ascii="Calibri" w:hAnsi="Calibri"/>
          <w:i/>
          <w:color w:val="525866"/>
          <w:sz w:val="22"/>
        </w:rPr>
        <w:t>Implication:</w:t>
      </w:r>
      <w:r>
        <w:rPr>
          <w:rFonts w:ascii="Calibri" w:hAnsi="Calibri"/>
          <w:color w:val="525866"/>
          <w:sz w:val="22"/>
        </w:rPr>
        <w:t xml:space="preserve"> Confirmed QQQ inflows turned strongly positive in April after Q1 outflows; first hard data point for Q2.</w:t>
      </w:r>
    </w:p>
    <w:p>
      <w:pPr>
        <w:pStyle w:val="ListBullet"/>
        <w:ind w:left="360" w:hanging="360"/>
      </w:pPr>
      <w:r>
        <w:rPr>
          <w:rFonts w:ascii="Calibri" w:hAnsi="Calibri"/>
          <w:b/>
          <w:color w:val="525866"/>
          <w:sz w:val="22"/>
        </w:rPr>
        <w:t>April 2026 — QQQ Competitive Threat (Ongoing):</w:t>
      </w:r>
      <w:r>
        <w:rPr>
          <w:rFonts w:ascii="Calibri" w:hAnsi="Calibri"/>
          <w:color w:val="525866"/>
          <w:sz w:val="22"/>
        </w:rPr>
        <w:t xml:space="preserve"> Nasdaq ended Invesco's near-exclusive Nasdaq 100 ETF licensing arrangement in early April 2026, enabling BlackRock and State Street to file competing products. Management has spent significant time at conferences defending the installed base (~$600B QQQ suite), liquidity moat, tax-driven switching costs, and MFN licensing parity (all competitors pay same 8 bps). BlackRock confirmed at its Q2 2026 earnings (July 15) that it is proceeding with its Nasdaq 100 ETF filing.</w:t>
      </w:r>
    </w:p>
    <w:p>
      <w:pPr>
        <w:pStyle w:val="ListBullet"/>
        <w:ind w:left="360" w:hanging="360"/>
      </w:pPr>
      <w:r>
        <w:rPr>
          <w:rFonts w:ascii="Calibri" w:hAnsi="Calibri"/>
          <w:i/>
          <w:color w:val="525866"/>
          <w:sz w:val="22"/>
        </w:rPr>
        <w:t>Implication:</w:t>
      </w:r>
      <w:r>
        <w:rPr>
          <w:rFonts w:ascii="Calibri" w:hAnsi="Calibri"/>
          <w:color w:val="525866"/>
          <w:sz w:val="22"/>
        </w:rPr>
        <w:t xml:space="preserve"> Structural overhang on IVZ's most profitable franchise; near-term impact limited but long-term competitive pressure is real. Watch for any update on competitor fund launches at Q2 earnings.</w:t>
      </w:r>
    </w:p>
    <w:p>
      <w:pPr>
        <w:pStyle w:val="ListBullet"/>
        <w:ind w:left="360" w:hanging="360"/>
      </w:pPr>
      <w:r>
        <w:rPr>
          <w:rFonts w:ascii="Calibri" w:hAnsi="Calibri"/>
          <w:b/>
          <w:color w:val="525866"/>
          <w:sz w:val="22"/>
        </w:rPr>
        <w:t>March 2026 — Superstate Tokenization Partnership:</w:t>
      </w:r>
      <w:r>
        <w:rPr>
          <w:rFonts w:ascii="Calibri" w:hAnsi="Calibri"/>
          <w:color w:val="525866"/>
          <w:sz w:val="22"/>
        </w:rPr>
        <w:t xml:space="preserve"> Invesco became investment manager of USTB, a tokenized short-duration U.S. Treasuries fund (~$1B), making it the first asset manager to use Superstate's digital transfer agent infrastructure. Management frames this as an operational innovation (settlement, transparency) rather than a new product category.</w:t>
      </w:r>
    </w:p>
    <w:p>
      <w:pPr>
        <w:pStyle w:val="ListBullet"/>
        <w:ind w:left="360" w:hanging="360"/>
      </w:pPr>
      <w:r>
        <w:rPr>
          <w:rFonts w:ascii="Calibri" w:hAnsi="Calibri"/>
          <w:i/>
          <w:color w:val="525866"/>
          <w:sz w:val="22"/>
        </w:rPr>
        <w:t>Implication:</w:t>
      </w:r>
      <w:r>
        <w:rPr>
          <w:rFonts w:ascii="Calibri" w:hAnsi="Calibri"/>
          <w:color w:val="525866"/>
          <w:sz w:val="22"/>
        </w:rPr>
        <w:t xml:space="preserve"> Modest near-term revenue impact; positions IVZ in the tokenization narrative alongside BlackRock (which disclosed $110B in digital asset AUM at Q2 earnings).</w:t>
      </w:r>
    </w:p>
    <w:p>
      <w:pPr>
        <w:pStyle w:val="ListBullet"/>
        <w:ind w:left="360" w:hanging="360"/>
      </w:pPr>
      <w:r>
        <w:rPr>
          <w:rFonts w:ascii="Calibri" w:hAnsi="Calibri"/>
          <w:i/>
          <w:color w:val="525866"/>
          <w:sz w:val="22"/>
        </w:rPr>
        <w:t>No analyst rating changes for IVZ were identified in the post-Q1 earnings period (April 28 – July 27, 2026) in the available dataset.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named executives — all insider activity consists of routine </w:t>
      </w:r>
      <w:r>
        <w:rPr>
          <w:rFonts w:ascii="Calibri" w:hAnsi="Calibri"/>
          <w:b/>
          <w:color w:val="525866"/>
          <w:sz w:val="22"/>
        </w:rPr>
        <w:t>tax withholding (code F) and RSU vesting (code M)</w:t>
      </w:r>
      <w:r>
        <w:rPr>
          <w:rFonts w:ascii="Calibri" w:hAnsi="Calibri"/>
          <w:color w:val="525866"/>
          <w:sz w:val="22"/>
        </w:rPr>
        <w:t xml:space="preserve"> transactions, plus standard annual director equity grants. No unusual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Andrew Schlossberg</w:t>
            </w:r>
          </w:p>
        </w:tc>
        <w:tc>
          <w:tcPr>
            <w:tcW w:type="dxa" w:w="1440"/>
          </w:tcPr>
          <w:p>
            <w:r>
              <w:rPr>
                <w:rFonts w:ascii="Calibri" w:hAnsi="Calibri"/>
                <w:sz w:val="22"/>
              </w:rPr>
              <w:t>President &amp; CEO</w:t>
            </w:r>
          </w:p>
        </w:tc>
        <w:tc>
          <w:tcPr>
            <w:tcW w:type="dxa" w:w="1440"/>
          </w:tcPr>
          <w:p>
            <w:r>
              <w:rPr>
                <w:rFonts w:ascii="Calibri" w:hAnsi="Calibri"/>
                <w:sz w:val="22"/>
              </w:rPr>
              <w:t>Tax Withholding (F)</w:t>
            </w:r>
          </w:p>
        </w:tc>
        <w:tc>
          <w:tcPr>
            <w:tcW w:type="dxa" w:w="1440"/>
          </w:tcPr>
          <w:p>
            <w:r>
              <w:rPr>
                <w:rFonts w:ascii="Calibri" w:hAnsi="Calibri"/>
                <w:sz w:val="22"/>
              </w:rPr>
              <w:t>156,007 shares</w:t>
            </w:r>
          </w:p>
        </w:tc>
        <w:tc>
          <w:tcPr>
            <w:tcW w:type="dxa" w:w="1440"/>
          </w:tcPr>
          <w:p>
            <w:r>
              <w:rPr>
                <w:rFonts w:ascii="Calibri" w:hAnsi="Calibri"/>
                <w:sz w:val="22"/>
              </w:rPr>
              <w:t>Jul 2, 2026</w:t>
            </w:r>
          </w:p>
        </w:tc>
        <w:tc>
          <w:tcPr>
            <w:tcW w:type="dxa" w:w="1440"/>
          </w:tcPr>
          <w:p>
            <w:r>
              <w:rPr>
                <w:rFonts w:ascii="Calibri" w:hAnsi="Calibri"/>
                <w:sz w:val="22"/>
              </w:rPr>
              <w:t>Shares withheld for tax on RSU vesting; not a discretionary sale</w:t>
            </w:r>
          </w:p>
        </w:tc>
      </w:tr>
      <w:tr>
        <w:tc>
          <w:tcPr>
            <w:tcW w:type="dxa" w:w="1440"/>
          </w:tcPr>
          <w:p>
            <w:r>
              <w:rPr>
                <w:rFonts w:ascii="Calibri" w:hAnsi="Calibri"/>
                <w:sz w:val="22"/>
              </w:rPr>
              <w:t>Laura Allison Dukes</w:t>
            </w:r>
          </w:p>
        </w:tc>
        <w:tc>
          <w:tcPr>
            <w:tcW w:type="dxa" w:w="1440"/>
          </w:tcPr>
          <w:p>
            <w:r>
              <w:rPr>
                <w:rFonts w:ascii="Calibri" w:hAnsi="Calibri"/>
                <w:sz w:val="22"/>
              </w:rPr>
              <w:t>Chief Financial Officer</w:t>
            </w:r>
          </w:p>
        </w:tc>
        <w:tc>
          <w:tcPr>
            <w:tcW w:type="dxa" w:w="1440"/>
          </w:tcPr>
          <w:p>
            <w:r>
              <w:rPr>
                <w:rFonts w:ascii="Calibri" w:hAnsi="Calibri"/>
                <w:sz w:val="22"/>
              </w:rPr>
              <w:t>Tax Withholding (F)</w:t>
            </w:r>
          </w:p>
        </w:tc>
        <w:tc>
          <w:tcPr>
            <w:tcW w:type="dxa" w:w="1440"/>
          </w:tcPr>
          <w:p>
            <w:r>
              <w:rPr>
                <w:rFonts w:ascii="Calibri" w:hAnsi="Calibri"/>
                <w:sz w:val="22"/>
              </w:rPr>
              <w:t>52,003 shares</w:t>
            </w:r>
          </w:p>
        </w:tc>
        <w:tc>
          <w:tcPr>
            <w:tcW w:type="dxa" w:w="1440"/>
          </w:tcPr>
          <w:p>
            <w:r>
              <w:rPr>
                <w:rFonts w:ascii="Calibri" w:hAnsi="Calibri"/>
                <w:sz w:val="22"/>
              </w:rPr>
              <w:t>Jul 2, 2026</w:t>
            </w:r>
          </w:p>
        </w:tc>
        <w:tc>
          <w:tcPr>
            <w:tcW w:type="dxa" w:w="1440"/>
          </w:tcPr>
          <w:p>
            <w:r>
              <w:rPr>
                <w:rFonts w:ascii="Calibri" w:hAnsi="Calibri"/>
                <w:sz w:val="22"/>
              </w:rPr>
              <w:t>Shares withheld for tax on RSU vesting; not a discretionary sale</w:t>
            </w:r>
          </w:p>
        </w:tc>
      </w:tr>
      <w:tr>
        <w:tc>
          <w:tcPr>
            <w:tcW w:type="dxa" w:w="1440"/>
          </w:tcPr>
          <w:p>
            <w:r>
              <w:rPr>
                <w:rFonts w:ascii="Calibri" w:hAnsi="Calibri"/>
                <w:sz w:val="22"/>
              </w:rPr>
              <w:t>Jeffrey H. Kupor</w:t>
            </w:r>
          </w:p>
        </w:tc>
        <w:tc>
          <w:tcPr>
            <w:tcW w:type="dxa" w:w="1440"/>
          </w:tcPr>
          <w:p>
            <w:r>
              <w:rPr>
                <w:rFonts w:ascii="Calibri" w:hAnsi="Calibri"/>
                <w:sz w:val="22"/>
              </w:rPr>
              <w:t>Senior Managing Director</w:t>
            </w:r>
          </w:p>
        </w:tc>
        <w:tc>
          <w:tcPr>
            <w:tcW w:type="dxa" w:w="1440"/>
          </w:tcPr>
          <w:p>
            <w:r>
              <w:rPr>
                <w:rFonts w:ascii="Calibri" w:hAnsi="Calibri"/>
                <w:sz w:val="22"/>
              </w:rPr>
              <w:t>Tax Withholding (F)</w:t>
            </w:r>
          </w:p>
        </w:tc>
        <w:tc>
          <w:tcPr>
            <w:tcW w:type="dxa" w:w="1440"/>
          </w:tcPr>
          <w:p>
            <w:r>
              <w:rPr>
                <w:rFonts w:ascii="Calibri" w:hAnsi="Calibri"/>
                <w:sz w:val="22"/>
              </w:rPr>
              <w:t>26,002 shares</w:t>
            </w:r>
          </w:p>
        </w:tc>
        <w:tc>
          <w:tcPr>
            <w:tcW w:type="dxa" w:w="1440"/>
          </w:tcPr>
          <w:p>
            <w:r>
              <w:rPr>
                <w:rFonts w:ascii="Calibri" w:hAnsi="Calibri"/>
                <w:sz w:val="22"/>
              </w:rPr>
              <w:t>Jul 2, 2026</w:t>
            </w:r>
          </w:p>
        </w:tc>
        <w:tc>
          <w:tcPr>
            <w:tcW w:type="dxa" w:w="1440"/>
          </w:tcPr>
          <w:p>
            <w:r>
              <w:rPr>
                <w:rFonts w:ascii="Calibri" w:hAnsi="Calibri"/>
                <w:sz w:val="22"/>
              </w:rPr>
              <w:t>Shares withheld for tax on RSU vesting; not a discretionary sale</w:t>
            </w:r>
          </w:p>
        </w:tc>
      </w:tr>
      <w:tr>
        <w:tc>
          <w:tcPr>
            <w:tcW w:type="dxa" w:w="1440"/>
          </w:tcPr>
          <w:p>
            <w:r>
              <w:rPr>
                <w:rFonts w:ascii="Calibri" w:hAnsi="Calibri"/>
                <w:sz w:val="22"/>
              </w:rPr>
              <w:t>Andrew Tak Shing Lo</w:t>
            </w:r>
          </w:p>
        </w:tc>
        <w:tc>
          <w:tcPr>
            <w:tcW w:type="dxa" w:w="1440"/>
          </w:tcPr>
          <w:p>
            <w:r>
              <w:rPr>
                <w:rFonts w:ascii="Calibri" w:hAnsi="Calibri"/>
                <w:sz w:val="22"/>
              </w:rPr>
              <w:t>Senior Managing Director</w:t>
            </w:r>
          </w:p>
        </w:tc>
        <w:tc>
          <w:tcPr>
            <w:tcW w:type="dxa" w:w="1440"/>
          </w:tcPr>
          <w:p>
            <w:r>
              <w:rPr>
                <w:rFonts w:ascii="Calibri" w:hAnsi="Calibri"/>
                <w:sz w:val="22"/>
              </w:rPr>
              <w:t>RSU Vesting (M) / Delivery (D)</w:t>
            </w:r>
          </w:p>
        </w:tc>
        <w:tc>
          <w:tcPr>
            <w:tcW w:type="dxa" w:w="1440"/>
          </w:tcPr>
          <w:p>
            <w:r>
              <w:rPr>
                <w:rFonts w:ascii="Calibri" w:hAnsi="Calibri"/>
                <w:sz w:val="22"/>
              </w:rPr>
              <w:t>116,754 shares vested</w:t>
            </w:r>
          </w:p>
        </w:tc>
        <w:tc>
          <w:tcPr>
            <w:tcW w:type="dxa" w:w="1440"/>
          </w:tcPr>
          <w:p>
            <w:r>
              <w:rPr>
                <w:rFonts w:ascii="Calibri" w:hAnsi="Calibri"/>
                <w:sz w:val="22"/>
              </w:rPr>
              <w:t>Jul 2, 2026</w:t>
            </w:r>
          </w:p>
        </w:tc>
        <w:tc>
          <w:tcPr>
            <w:tcW w:type="dxa" w:w="1440"/>
          </w:tcPr>
          <w:p>
            <w:r>
              <w:rPr>
                <w:rFonts w:ascii="Calibri" w:hAnsi="Calibri"/>
                <w:sz w:val="22"/>
              </w:rPr>
              <w:t>RSU conversion to common shares; routine vesting event</w:t>
            </w:r>
          </w:p>
        </w:tc>
      </w:tr>
      <w:tr>
        <w:tc>
          <w:tcPr>
            <w:tcW w:type="dxa" w:w="1440"/>
          </w:tcPr>
          <w:p>
            <w:r>
              <w:rPr>
                <w:rFonts w:ascii="Calibri" w:hAnsi="Calibri"/>
                <w:sz w:val="22"/>
              </w:rPr>
              <w:t>Multiple Directors (9 individuals)</w:t>
            </w:r>
          </w:p>
        </w:tc>
        <w:tc>
          <w:tcPr>
            <w:tcW w:type="dxa" w:w="1440"/>
          </w:tcPr>
          <w:p>
            <w:r>
              <w:rPr>
                <w:rFonts w:ascii="Calibri" w:hAnsi="Calibri"/>
                <w:sz w:val="22"/>
              </w:rPr>
              <w:t>Board Directors</w:t>
            </w:r>
          </w:p>
        </w:tc>
        <w:tc>
          <w:tcPr>
            <w:tcW w:type="dxa" w:w="1440"/>
          </w:tcPr>
          <w:p>
            <w:r>
              <w:rPr>
                <w:rFonts w:ascii="Calibri" w:hAnsi="Calibri"/>
                <w:sz w:val="22"/>
              </w:rPr>
              <w:t>Annual Equity Grant (A)</w:t>
            </w:r>
          </w:p>
        </w:tc>
        <w:tc>
          <w:tcPr>
            <w:tcW w:type="dxa" w:w="1440"/>
          </w:tcPr>
          <w:p>
            <w:r>
              <w:rPr>
                <w:rFonts w:ascii="Calibri" w:hAnsi="Calibri"/>
                <w:sz w:val="22"/>
              </w:rPr>
              <w:t>8,112 shares each</w:t>
            </w:r>
          </w:p>
        </w:tc>
        <w:tc>
          <w:tcPr>
            <w:tcW w:type="dxa" w:w="1440"/>
          </w:tcPr>
          <w:p>
            <w:r>
              <w:rPr>
                <w:rFonts w:ascii="Calibri" w:hAnsi="Calibri"/>
                <w:sz w:val="22"/>
              </w:rPr>
              <w:t>May 15, 2026</w:t>
            </w:r>
          </w:p>
        </w:tc>
        <w:tc>
          <w:tcPr>
            <w:tcW w:type="dxa" w:w="1440"/>
          </w:tcPr>
          <w:p>
            <w:r>
              <w:rPr>
                <w:rFonts w:ascii="Calibri" w:hAnsi="Calibri"/>
                <w:sz w:val="22"/>
              </w:rPr>
              <w:t>Standard annual director compensation grant; routine</w:t>
            </w:r>
          </w:p>
        </w:tc>
      </w:tr>
      <w:tr>
        <w:tc>
          <w:tcPr>
            <w:tcW w:type="dxa" w:w="1440"/>
          </w:tcPr>
          <w:p>
            <w:r>
              <w:rPr>
                <w:rFonts w:ascii="Calibri" w:hAnsi="Calibri"/>
                <w:sz w:val="22"/>
              </w:rPr>
              <w:t>Invesco Advisers, Inc.</w:t>
            </w:r>
          </w:p>
        </w:tc>
        <w:tc>
          <w:tcPr>
            <w:tcW w:type="dxa" w:w="1440"/>
          </w:tcPr>
          <w:p>
            <w:r>
              <w:rPr>
                <w:rFonts w:ascii="Calibri" w:hAnsi="Calibri"/>
                <w:sz w:val="22"/>
              </w:rPr>
              <w:t>10% Owner / Director (fund entity)</w:t>
            </w:r>
          </w:p>
        </w:tc>
        <w:tc>
          <w:tcPr>
            <w:tcW w:type="dxa" w:w="1440"/>
          </w:tcPr>
          <w:p>
            <w:r>
              <w:rPr>
                <w:rFonts w:ascii="Calibri" w:hAnsi="Calibri"/>
                <w:sz w:val="22"/>
              </w:rPr>
              <w:t>Various (A/D)</w:t>
            </w:r>
          </w:p>
        </w:tc>
        <w:tc>
          <w:tcPr>
            <w:tcW w:type="dxa" w:w="1440"/>
          </w:tcPr>
          <w:p>
            <w:r>
              <w:rPr>
                <w:rFonts w:ascii="Calibri" w:hAnsi="Calibri"/>
                <w:sz w:val="22"/>
              </w:rPr>
              <w:t>Multiple transactions in fund share classes</w:t>
            </w:r>
          </w:p>
        </w:tc>
        <w:tc>
          <w:tcPr>
            <w:tcW w:type="dxa" w:w="1440"/>
          </w:tcPr>
          <w:p>
            <w:r>
              <w:rPr>
                <w:rFonts w:ascii="Calibri" w:hAnsi="Calibri"/>
                <w:sz w:val="22"/>
              </w:rPr>
              <w:t>Apr–Jul 2026</w:t>
            </w:r>
          </w:p>
        </w:tc>
        <w:tc>
          <w:tcPr>
            <w:tcW w:type="dxa" w:w="1440"/>
          </w:tcPr>
          <w:p>
            <w:r>
              <w:rPr>
                <w:rFonts w:ascii="Calibri" w:hAnsi="Calibri"/>
                <w:sz w:val="22"/>
              </w:rPr>
              <w:t>Routine fund subscription/redemption activity in Invesco-managed funds; not economically meaningful for IVZ stock</w:t>
            </w:r>
          </w:p>
        </w:tc>
      </w:tr>
    </w:tbl>
    <w:p>
      <w:r>
        <w:rPr>
          <w:rFonts w:ascii="Calibri" w:hAnsi="Calibri"/>
          <w:color w:val="525866"/>
          <w:sz w:val="22"/>
        </w:rPr>
        <w:t>No open-market purchases (code P) or discretionary open-market sales (code S) were filed by any named executive or director during the April 28 – July 27, 2026 window. All transactions are obligation-driven (tax withholding on vesting) or routine compensation grants. The absence of discretionary insider selling ahead of earnings is a mild positive signal.</w:t>
      </w:r>
    </w:p>
    <w:p>
      <w:r>
        <w:rPr>
          <w:rFonts w:ascii="Calibri" w:hAnsi="Calibri"/>
          <w:i/>
          <w:color w:val="525866"/>
          <w:sz w:val="22"/>
        </w:rPr>
        <w:t>Source: SEC Form 4 filings via insider transaction dataset.</w:t>
      </w:r>
    </w:p>
    <w:p>
      <w:r>
        <w:br w:type="page"/>
      </w:r>
    </w:p>
    <w:p>
      <w:pPr>
        <w:pStyle w:val="Heading2"/>
      </w:pPr>
      <w:r>
        <w:rPr>
          <w:rFonts w:ascii="Calibri" w:hAnsi="Calibri"/>
          <w:b/>
          <w:color w:val="3B4259"/>
          <w:sz w:val="28"/>
        </w:rPr>
        <w:t>8. Peer Commentaries — Q2 2026 Read-Throughs</w:t>
      </w:r>
    </w:p>
    <w:p>
      <w:r>
        <w:rPr>
          <w:rFonts w:ascii="Calibri" w:hAnsi="Calibri"/>
          <w:b/>
          <w:color w:val="525866"/>
          <w:sz w:val="22"/>
        </w:rPr>
        <w:t xml:space="preserve">Key Takeaway: </w:t>
      </w:r>
      <w:r>
        <w:rPr>
          <w:rFonts w:ascii="Calibri" w:hAnsi="Calibri"/>
          <w:color w:val="525866"/>
          <w:sz w:val="22"/>
        </w:rPr>
        <w:t xml:space="preserve">Both BlackRock (BLK, reported July 15) and Cohen &amp; Steers (CNS, reported July 17) reported </w:t>
      </w:r>
      <w:r>
        <w:rPr>
          <w:rFonts w:ascii="Calibri" w:hAnsi="Calibri"/>
          <w:b/>
          <w:color w:val="525866"/>
          <w:sz w:val="22"/>
        </w:rPr>
        <w:t>strong Q2 2026 results</w:t>
      </w:r>
      <w:r>
        <w:rPr>
          <w:rFonts w:ascii="Calibri" w:hAnsi="Calibri"/>
          <w:color w:val="525866"/>
          <w:sz w:val="22"/>
        </w:rPr>
        <w:t xml:space="preserve"> with record or near-record inflows, margin expansion, and positive market commentary — all of which are constructive read-throughs for IVZ's Q2 print. The industry backdrop is clearly favorable.</w:t>
      </w:r>
    </w:p>
    <w:p>
      <w:r>
        <w:rPr>
          <w:rFonts w:ascii="Calibri" w:hAnsi="Calibri"/>
          <w:i/>
          <w:color w:val="525866"/>
          <w:sz w:val="22"/>
        </w:rPr>
        <w:t>Note: Only peer commentary from Q2 2026 earnings calls (reporting on the current quarter) is included below. Q1 2026 earnings commentary from peers has been excluded as it pertains to a prior period.</w:t>
      </w:r>
    </w:p>
    <w:p>
      <w:pPr>
        <w:pStyle w:val="Heading3"/>
      </w:pPr>
      <w:r>
        <w:rPr>
          <w:rFonts w:ascii="Calibri" w:hAnsi="Calibri"/>
          <w:b/>
          <w:color w:val="3B4259"/>
          <w:sz w:val="24"/>
        </w:rPr>
        <w:t>BlackRock (BLK) — Q2 2026 Earnings Call (July 15,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Record AUM and inflows confirm industry tailwind:</w:t>
      </w:r>
      <w:r>
        <w:rPr>
          <w:rFonts w:ascii="Calibri" w:hAnsi="Calibri"/>
          <w:color w:val="525866"/>
          <w:sz w:val="22"/>
        </w:rPr>
        <w:t xml:space="preserve"> BLK reported total AUM of $15.3T (a record), with $192B of net inflows in Q2 and $868B over the last 12 months. First-half 2026 flows were "more than double" first-half 2025. This confirms the industry-wide demand environment that IVZ has been citing — strong flows into ETFs, fixed income, and active strategies globally.</w:t>
      </w:r>
    </w:p>
    <w:p>
      <w:pPr>
        <w:pStyle w:val="ListBullet"/>
        <w:ind w:left="360" w:hanging="360"/>
      </w:pPr>
      <w:r>
        <w:rPr>
          <w:rFonts w:ascii="Calibri" w:hAnsi="Calibri"/>
          <w:b/>
          <w:color w:val="525866"/>
          <w:sz w:val="22"/>
        </w:rPr>
        <w:t>ETF flows remain exceptionally strong:</w:t>
      </w:r>
      <w:r>
        <w:rPr>
          <w:rFonts w:ascii="Calibri" w:hAnsi="Calibri"/>
          <w:color w:val="525866"/>
          <w:sz w:val="22"/>
        </w:rPr>
        <w:t xml:space="preserve"> iShares recorded $178B of net inflows in Q2, with a fifth consecutive quarter of double-digit organic base fee growth. Active ETFs gathered $20B in Q2 and $70B+ over the last year. BLK moved from 7th to 3rd largest active ETF manager in three years. </w:t>
      </w:r>
    </w:p>
    <w:p>
      <w:pPr>
        <w:pStyle w:val="ListBullet"/>
        <w:ind w:left="360" w:hanging="360"/>
      </w:pPr>
      <w:r>
        <w:rPr>
          <w:rFonts w:ascii="Calibri" w:hAnsi="Calibri"/>
          <w:i/>
          <w:color w:val="525866"/>
          <w:sz w:val="22"/>
        </w:rPr>
        <w:t>IVZ read-through:</w:t>
      </w:r>
      <w:r>
        <w:rPr>
          <w:rFonts w:ascii="Calibri" w:hAnsi="Calibri"/>
          <w:color w:val="525866"/>
          <w:sz w:val="22"/>
        </w:rPr>
        <w:t xml:space="preserve"> Confirms the ETF demand environment that drove IVZ's QQQ and broader ETF inflows in Q2. IVZ's ~$1.2T ETF platform (4th largest globally) should benefit from the same structural tailwinds.</w:t>
      </w:r>
    </w:p>
    <w:p>
      <w:pPr>
        <w:pStyle w:val="ListBullet"/>
        <w:ind w:left="360" w:hanging="360"/>
      </w:pPr>
      <w:r>
        <w:rPr>
          <w:rFonts w:ascii="Calibri" w:hAnsi="Calibri"/>
          <w:b/>
          <w:color w:val="525866"/>
          <w:sz w:val="22"/>
        </w:rPr>
        <w:t>Margin expansion at scale:</w:t>
      </w:r>
      <w:r>
        <w:rPr>
          <w:rFonts w:ascii="Calibri" w:hAnsi="Calibri"/>
          <w:color w:val="525866"/>
          <w:sz w:val="22"/>
        </w:rPr>
        <w:t xml:space="preserve"> BLK's operating margin reached 45.9% in Q2, expanding 260 bps year-over-year — the highest in nearly five years. Management does not see this as a ceiling and targets margins "north of 50%" on fee-related earnings over time.</w:t>
      </w:r>
    </w:p>
    <w:p>
      <w:pPr>
        <w:pStyle w:val="ListBullet"/>
        <w:ind w:left="360" w:hanging="360"/>
      </w:pPr>
      <w:r>
        <w:rPr>
          <w:rFonts w:ascii="Calibri" w:hAnsi="Calibri"/>
          <w:i/>
          <w:color w:val="525866"/>
          <w:sz w:val="22"/>
        </w:rPr>
        <w:t>IVZ read-through:</w:t>
      </w:r>
      <w:r>
        <w:rPr>
          <w:rFonts w:ascii="Calibri" w:hAnsi="Calibri"/>
          <w:color w:val="525866"/>
          <w:sz w:val="22"/>
        </w:rPr>
        <w:t xml:space="preserve"> Demonstrates that asset manager operating leverage is real and achievable at scale. IVZ's path from 34.5% to high-30s is credible in this environment.</w:t>
      </w:r>
    </w:p>
    <w:p>
      <w:pPr>
        <w:pStyle w:val="ListBullet"/>
        <w:ind w:left="360" w:hanging="360"/>
      </w:pPr>
      <w:r>
        <w:rPr>
          <w:rFonts w:ascii="Calibri" w:hAnsi="Calibri"/>
          <w:b/>
          <w:color w:val="525866"/>
          <w:sz w:val="22"/>
        </w:rPr>
        <w:t>Market environment described as highly constructive:</w:t>
      </w:r>
      <w:r>
        <w:rPr>
          <w:rFonts w:ascii="Calibri" w:hAnsi="Calibri"/>
          <w:color w:val="525866"/>
          <w:sz w:val="22"/>
        </w:rPr>
        <w:t xml:space="preserve"> BLK CEO Larry Fink stated "I'm very optimistic on the outlook for global markets" with "great market fundamentals, higher corporate margins and earnings momentum catalyzed by new technology." US equity markets at new highs; returns broadening beyond the US.</w:t>
      </w:r>
    </w:p>
    <w:p>
      <w:pPr>
        <w:pStyle w:val="ListBullet"/>
        <w:ind w:left="360" w:hanging="360"/>
      </w:pPr>
      <w:r>
        <w:rPr>
          <w:rFonts w:ascii="Calibri" w:hAnsi="Calibri"/>
          <w:i/>
          <w:color w:val="525866"/>
          <w:sz w:val="22"/>
        </w:rPr>
        <w:t>IVZ read-through:</w:t>
      </w:r>
      <w:r>
        <w:rPr>
          <w:rFonts w:ascii="Calibri" w:hAnsi="Calibri"/>
          <w:color w:val="525866"/>
          <w:sz w:val="22"/>
        </w:rPr>
        <w:t xml:space="preserve"> Positive market backdrop supports AUM appreciation and fee revenue for IVZ in Q2. The $9B of favorable market returns in IVZ's June AUM release is consistent with BLK's commentary.</w:t>
      </w:r>
    </w:p>
    <w:p>
      <w:pPr>
        <w:pStyle w:val="ListBullet"/>
        <w:ind w:left="360" w:hanging="360"/>
      </w:pPr>
      <w:r>
        <w:rPr>
          <w:rFonts w:ascii="Calibri" w:hAnsi="Calibri"/>
          <w:b/>
          <w:color w:val="525866"/>
          <w:sz w:val="22"/>
        </w:rPr>
        <w:t>Asia and international flows strong:</w:t>
      </w:r>
      <w:r>
        <w:rPr>
          <w:rFonts w:ascii="Calibri" w:hAnsi="Calibri"/>
          <w:color w:val="525866"/>
          <w:sz w:val="22"/>
        </w:rPr>
        <w:t xml:space="preserve"> BLK's iShares Europe raised $80B year-to-date (AUM at $1.5T); Asia Pacific iShares crossed $100B in a quarter. Institutional demand globally remains robust.</w:t>
      </w:r>
    </w:p>
    <w:p>
      <w:pPr>
        <w:pStyle w:val="ListBullet"/>
        <w:ind w:left="360" w:hanging="360"/>
      </w:pPr>
      <w:r>
        <w:rPr>
          <w:rFonts w:ascii="Calibri" w:hAnsi="Calibri"/>
          <w:i/>
          <w:color w:val="525866"/>
          <w:sz w:val="22"/>
        </w:rPr>
        <w:t>IVZ read-through:</w:t>
      </w:r>
      <w:r>
        <w:rPr>
          <w:rFonts w:ascii="Calibri" w:hAnsi="Calibri"/>
          <w:color w:val="525866"/>
          <w:sz w:val="22"/>
        </w:rPr>
        <w:t xml:space="preserve"> Validates IVZ's international growth narrative — Asia (China JV at ~$155B, Japan at $100B+) and Europe (ETF AUM approaching $200B) are key growth drivers for IVZ.</w:t>
      </w:r>
    </w:p>
    <w:p>
      <w:pPr>
        <w:pStyle w:val="ListBullet"/>
        <w:ind w:left="360" w:hanging="360"/>
      </w:pPr>
      <w:r>
        <w:rPr>
          <w:rFonts w:ascii="Calibri" w:hAnsi="Calibri"/>
          <w:b/>
          <w:color w:val="525866"/>
          <w:sz w:val="22"/>
        </w:rPr>
        <w:t>QQQ competitive context:</w:t>
      </w:r>
      <w:r>
        <w:rPr>
          <w:rFonts w:ascii="Calibri" w:hAnsi="Calibri"/>
          <w:color w:val="525866"/>
          <w:sz w:val="22"/>
        </w:rPr>
        <w:t xml:space="preserve"> BLK confirmed it is proceeding with its Nasdaq 100 ETF filing. However, BLK's commentary focused on its own iShares platform rather than specifically targeting QQQ, and management did not provide a timeline for launch. The MFN licensing parity (8 bps for all) means fee competition will be limited.</w:t>
      </w:r>
    </w:p>
    <w:p>
      <w:pPr>
        <w:pStyle w:val="ListBullet"/>
        <w:ind w:left="360" w:hanging="360"/>
      </w:pPr>
      <w:r>
        <w:rPr>
          <w:rFonts w:ascii="Calibri" w:hAnsi="Calibri"/>
          <w:i/>
          <w:color w:val="525866"/>
          <w:sz w:val="22"/>
        </w:rPr>
        <w:t>IVZ read-through:</w:t>
      </w:r>
      <w:r>
        <w:rPr>
          <w:rFonts w:ascii="Calibri" w:hAnsi="Calibri"/>
          <w:color w:val="525866"/>
          <w:sz w:val="22"/>
        </w:rPr>
        <w:t xml:space="preserve"> Confirms the competitive threat is real but not imminent. IVZ's installed base of $600B+ in the QQQ suite remains the dominant vehicle for Nasdaq 100 exposure.</w:t>
      </w:r>
    </w:p>
    <w:p>
      <w:pPr>
        <w:pStyle w:val="ListBullet"/>
        <w:ind w:left="360" w:hanging="360"/>
      </w:pPr>
      <w:r>
        <w:rPr>
          <w:rFonts w:ascii="Calibri" w:hAnsi="Calibri"/>
          <w:color w:val="525866"/>
          <w:sz w:val="22"/>
        </w:rPr>
        <w:t>Revenue: $7.1B (+31% YoY); Operating Income: $2.9B (+39%); EPS: $13.91 (+15% YoY). All three metrics reached new quarterly records.</w:t>
      </w:r>
    </w:p>
    <w:p>
      <w:pPr>
        <w:pStyle w:val="Heading3"/>
      </w:pPr>
      <w:r>
        <w:rPr>
          <w:rFonts w:ascii="Calibri" w:hAnsi="Calibri"/>
          <w:b/>
          <w:color w:val="3B4259"/>
          <w:sz w:val="24"/>
        </w:rPr>
        <w:t>Cohen &amp; Steers (CNS) — Q2 2026 Earnings Call (July 17, 2026)</w:t>
      </w:r>
    </w:p>
    <w:p>
      <w:r>
        <w:rPr>
          <w:rFonts w:ascii="Calibri" w:hAnsi="Calibri"/>
          <w:b/>
          <w:color w:val="525866"/>
          <w:sz w:val="22"/>
        </w:rPr>
        <w:t xml:space="preserve">Read-Through Signal: </w:t>
      </w:r>
      <w:r>
        <w:rPr>
          <w:rFonts w:ascii="Calibri" w:hAnsi="Calibri"/>
          <w:b/>
          <w:color w:val="30A46C"/>
          <w:sz w:val="22"/>
        </w:rPr>
        <w:t>Positive (Real Assets / REIT-Focused)</w:t>
      </w:r>
    </w:p>
    <w:p>
      <w:pPr>
        <w:pStyle w:val="ListBullet"/>
        <w:ind w:left="360" w:hanging="360"/>
      </w:pPr>
      <w:r>
        <w:rPr>
          <w:rFonts w:ascii="Calibri" w:hAnsi="Calibri"/>
          <w:b/>
          <w:color w:val="525866"/>
          <w:sz w:val="22"/>
        </w:rPr>
        <w:t>Strongest flow quarter in 4.5 years:</w:t>
      </w:r>
      <w:r>
        <w:rPr>
          <w:rFonts w:ascii="Calibri" w:hAnsi="Calibri"/>
          <w:color w:val="525866"/>
          <w:sz w:val="22"/>
        </w:rPr>
        <w:t xml:space="preserve"> CNS reported $1.3B of net inflows in Q2 — the highest in four and a half years and the seventh quarter of inflows in the past eight quarters. AUM increased ~8% to over $100B. Institutional pipeline remained robust at $1.6B.</w:t>
      </w:r>
    </w:p>
    <w:p>
      <w:pPr>
        <w:pStyle w:val="ListBullet"/>
        <w:ind w:left="360" w:hanging="360"/>
      </w:pPr>
      <w:r>
        <w:rPr>
          <w:rFonts w:ascii="Calibri" w:hAnsi="Calibri"/>
          <w:i/>
          <w:color w:val="525866"/>
          <w:sz w:val="22"/>
        </w:rPr>
        <w:t>IVZ read-through:</w:t>
      </w:r>
      <w:r>
        <w:rPr>
          <w:rFonts w:ascii="Calibri" w:hAnsi="Calibri"/>
          <w:color w:val="525866"/>
          <w:sz w:val="22"/>
        </w:rPr>
        <w:t xml:space="preserve"> CNS specializes in real assets (REITs, infrastructure, preferred securities) — a segment where IVZ also has exposure through its private markets real estate platform (~$80B) and listed real estate strategies. Strong CNS flows suggest institutional demand for real assets is recovering.</w:t>
      </w:r>
    </w:p>
    <w:p>
      <w:pPr>
        <w:pStyle w:val="ListBullet"/>
        <w:ind w:left="360" w:hanging="360"/>
      </w:pPr>
      <w:r>
        <w:rPr>
          <w:rFonts w:ascii="Calibri" w:hAnsi="Calibri"/>
          <w:b/>
          <w:color w:val="525866"/>
          <w:sz w:val="22"/>
        </w:rPr>
        <w:t>Real estate recovery confirmed:</w:t>
      </w:r>
      <w:r>
        <w:rPr>
          <w:rFonts w:ascii="Calibri" w:hAnsi="Calibri"/>
          <w:color w:val="525866"/>
          <w:sz w:val="22"/>
        </w:rPr>
        <w:t xml:space="preserve"> US listed real estate returned 10.7% in Q2 and is up 14.9% for the year. Global real estate up 9.6% YTD. CNS described the recovery as "three years in the making" with double-digit returns seen as a "sustainable forward outlook." Private real estate (NFI Odyssey Index) delivered seven consecutive quarters of positive total returns.</w:t>
      </w:r>
    </w:p>
    <w:p>
      <w:pPr>
        <w:pStyle w:val="ListBullet"/>
        <w:ind w:left="360" w:hanging="360"/>
      </w:pPr>
      <w:r>
        <w:rPr>
          <w:rFonts w:ascii="Calibri" w:hAnsi="Calibri"/>
          <w:i/>
          <w:color w:val="525866"/>
          <w:sz w:val="22"/>
        </w:rPr>
        <w:t>IVZ read-through:</w:t>
      </w:r>
      <w:r>
        <w:rPr>
          <w:rFonts w:ascii="Calibri" w:hAnsi="Calibri"/>
          <w:color w:val="525866"/>
          <w:sz w:val="22"/>
        </w:rPr>
        <w:t xml:space="preserve"> Positive for IVZ's private real estate platform (INCREF at $5B with leverage; Core Plus Real Estate Trust for DC plans). Improving real estate fundamentals support IVZ's private markets AUM and potential future inflows.</w:t>
      </w:r>
    </w:p>
    <w:p>
      <w:pPr>
        <w:pStyle w:val="ListBullet"/>
        <w:ind w:left="360" w:hanging="360"/>
      </w:pPr>
      <w:r>
        <w:rPr>
          <w:rFonts w:ascii="Calibri" w:hAnsi="Calibri"/>
          <w:b/>
          <w:color w:val="525866"/>
          <w:sz w:val="22"/>
        </w:rPr>
        <w:t>Preferred securities inflows returning:</w:t>
      </w:r>
      <w:r>
        <w:rPr>
          <w:rFonts w:ascii="Calibri" w:hAnsi="Calibri"/>
          <w:color w:val="525866"/>
          <w:sz w:val="22"/>
        </w:rPr>
        <w:t xml:space="preserve"> CNS saw a second consecutive quarter of inflows into preferred securities ($18B AUM), driven by search for yield, rotation from private credit, and attractive yield spreads. Low duration preferred strategy had its sixth straight quarter of inflows.</w:t>
      </w:r>
    </w:p>
    <w:p>
      <w:pPr>
        <w:pStyle w:val="ListBullet"/>
        <w:ind w:left="360" w:hanging="360"/>
      </w:pPr>
      <w:r>
        <w:rPr>
          <w:rFonts w:ascii="Calibri" w:hAnsi="Calibri"/>
          <w:i/>
          <w:color w:val="525866"/>
          <w:sz w:val="22"/>
        </w:rPr>
        <w:t>IVZ read-through:</w:t>
      </w:r>
      <w:r>
        <w:rPr>
          <w:rFonts w:ascii="Calibri" w:hAnsi="Calibri"/>
          <w:color w:val="525866"/>
          <w:sz w:val="22"/>
        </w:rPr>
        <w:t xml:space="preserve"> IVZ's fixed income platform (fundamental fixed income, SMAs at ~$40B growing 18-20% annually) should benefit from the same yield-seeking demand. Validates IVZ's fixed income growth narrative.</w:t>
      </w:r>
    </w:p>
    <w:p>
      <w:pPr>
        <w:pStyle w:val="ListBullet"/>
        <w:ind w:left="360" w:hanging="360"/>
      </w:pPr>
      <w:r>
        <w:rPr>
          <w:rFonts w:ascii="Calibri" w:hAnsi="Calibri"/>
          <w:b/>
          <w:color w:val="525866"/>
          <w:sz w:val="22"/>
        </w:rPr>
        <w:t>Active ETF momentum building:</w:t>
      </w:r>
      <w:r>
        <w:rPr>
          <w:rFonts w:ascii="Calibri" w:hAnsi="Calibri"/>
          <w:color w:val="525866"/>
          <w:sz w:val="22"/>
        </w:rPr>
        <w:t xml:space="preserve"> CNS's active ETFs surpassed $1B AUM; the company plans to have all core strategies available in ETF vehicles. Pricing active ETFs at a slight discount to lowest-cost open-end share classes, with comparable net fee rates.</w:t>
      </w:r>
    </w:p>
    <w:p>
      <w:pPr>
        <w:pStyle w:val="ListBullet"/>
        <w:ind w:left="360" w:hanging="360"/>
      </w:pPr>
      <w:r>
        <w:rPr>
          <w:rFonts w:ascii="Calibri" w:hAnsi="Calibri"/>
          <w:i/>
          <w:color w:val="525866"/>
          <w:sz w:val="22"/>
        </w:rPr>
        <w:t>IVZ read-through:</w:t>
      </w:r>
      <w:r>
        <w:rPr>
          <w:rFonts w:ascii="Calibri" w:hAnsi="Calibri"/>
          <w:color w:val="525866"/>
          <w:sz w:val="22"/>
        </w:rPr>
        <w:t xml:space="preserve"> Validates IVZ's active ETF strategy (~40 active ETFs globally, ~$40B AUM). The industry-wide shift to active ETF wrappers benefits IVZ's platform.</w:t>
      </w:r>
    </w:p>
    <w:p>
      <w:pPr>
        <w:pStyle w:val="ListBullet"/>
        <w:ind w:left="360" w:hanging="360"/>
      </w:pPr>
      <w:r>
        <w:rPr>
          <w:rFonts w:ascii="Calibri" w:hAnsi="Calibri"/>
          <w:b/>
          <w:color w:val="525866"/>
          <w:sz w:val="22"/>
        </w:rPr>
        <w:t>Private real estate fundraising in wealth still challenging:</w:t>
      </w:r>
      <w:r>
        <w:rPr>
          <w:rFonts w:ascii="Calibri" w:hAnsi="Calibri"/>
          <w:color w:val="525866"/>
          <w:sz w:val="22"/>
        </w:rPr>
        <w:t xml:space="preserve"> CNS noted private real estate fundraising in wealth is "down about 5% annualized this year," while private credit flows are "down 35%." However, CNS sees this as an opening for listed real estate.</w:t>
      </w:r>
    </w:p>
    <w:p>
      <w:pPr>
        <w:pStyle w:val="ListBullet"/>
        <w:ind w:left="360" w:hanging="360"/>
      </w:pPr>
      <w:r>
        <w:rPr>
          <w:rFonts w:ascii="Calibri" w:hAnsi="Calibri"/>
          <w:i/>
          <w:color w:val="525866"/>
          <w:sz w:val="22"/>
        </w:rPr>
        <w:t>IVZ read-through:</w:t>
      </w:r>
      <w:r>
        <w:rPr>
          <w:rFonts w:ascii="Calibri" w:hAnsi="Calibri"/>
          <w:color w:val="525866"/>
          <w:sz w:val="22"/>
        </w:rPr>
        <w:t xml:space="preserve"> Mild caution for IVZ's private markets wealth channel ambitions (Barings/LGT partnerships). The near-term fundraising environment for private alternatives in wealth remains challenging, consistent with IVZ management's "years, not quarters" framing.</w:t>
      </w:r>
    </w:p>
    <w:p>
      <w:pPr>
        <w:pStyle w:val="ListBullet"/>
        <w:ind w:left="360" w:hanging="360"/>
      </w:pPr>
      <w:r>
        <w:rPr>
          <w:rFonts w:ascii="Calibri" w:hAnsi="Calibri"/>
          <w:b/>
          <w:color w:val="525866"/>
          <w:sz w:val="22"/>
        </w:rPr>
        <w:t>Margin expansion and expense discipline:</w:t>
      </w:r>
      <w:r>
        <w:rPr>
          <w:rFonts w:ascii="Calibri" w:hAnsi="Calibri"/>
          <w:color w:val="525866"/>
          <w:sz w:val="22"/>
        </w:rPr>
        <w:t xml:space="preserve"> CNS operating margin improved to 36.3% in Q2, with expense growth below revenue growth. Maintained guidance: comp ~40% of revenues, mid-single-digit G&amp;A growth, 25-26% tax rate.</w:t>
      </w:r>
    </w:p>
    <w:p>
      <w:pPr>
        <w:pStyle w:val="ListBullet"/>
        <w:ind w:left="360" w:hanging="360"/>
      </w:pPr>
      <w:r>
        <w:rPr>
          <w:rFonts w:ascii="Calibri" w:hAnsi="Calibri"/>
          <w:i/>
          <w:color w:val="525866"/>
          <w:sz w:val="22"/>
        </w:rPr>
        <w:t>IVZ read-through:</w:t>
      </w:r>
      <w:r>
        <w:rPr>
          <w:rFonts w:ascii="Calibri" w:hAnsi="Calibri"/>
          <w:color w:val="525866"/>
          <w:sz w:val="22"/>
        </w:rPr>
        <w:t xml:space="preserve"> Confirms that asset managers with positive flow momentum can achieve meaningful margin expansion. IVZ's Q2 consensus margin of ~36.6% is consistent with CNS's achieved level.</w:t>
      </w:r>
    </w:p>
    <w:p>
      <w:pPr>
        <w:pStyle w:val="ListBullet"/>
        <w:ind w:left="360" w:hanging="360"/>
      </w:pPr>
      <w:r>
        <w:rPr>
          <w:rFonts w:ascii="Calibri" w:hAnsi="Calibri"/>
          <w:color w:val="525866"/>
          <w:sz w:val="22"/>
        </w:rPr>
        <w:t>Revenue: $152M (+5% QoQ); Adj. EPS: $0.85 (vs. $0.79 in Q1 2026 and $0.73 in Q2 2025). Operating margin: 36.3%.</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BLK Signal</w:t>
            </w:r>
          </w:p>
        </w:tc>
        <w:tc>
          <w:tcPr>
            <w:tcW w:type="dxa" w:w="2160"/>
            <w:shd w:val="clear" w:color="auto" w:fill="3B4259"/>
          </w:tcPr>
          <w:p>
            <w:r>
              <w:rPr>
                <w:rFonts w:ascii="Calibri" w:hAnsi="Calibri"/>
                <w:b/>
                <w:color w:val="FFFFFF"/>
                <w:sz w:val="22"/>
              </w:rPr>
              <w:t>CNS Signal</w:t>
            </w:r>
          </w:p>
        </w:tc>
        <w:tc>
          <w:tcPr>
            <w:tcW w:type="dxa" w:w="2160"/>
            <w:shd w:val="clear" w:color="auto" w:fill="3B4259"/>
          </w:tcPr>
          <w:p>
            <w:r>
              <w:rPr>
                <w:rFonts w:ascii="Calibri" w:hAnsi="Calibri"/>
                <w:b/>
                <w:color w:val="FFFFFF"/>
                <w:sz w:val="22"/>
              </w:rPr>
              <w:t>IVZ Implication</w:t>
            </w:r>
          </w:p>
        </w:tc>
      </w:tr>
      <w:tr>
        <w:tc>
          <w:tcPr>
            <w:tcW w:type="dxa" w:w="2160"/>
          </w:tcPr>
          <w:p>
            <w:r>
              <w:rPr>
                <w:rFonts w:ascii="Calibri" w:hAnsi="Calibri"/>
                <w:sz w:val="22"/>
              </w:rPr>
              <w:t>Industry Flows</w:t>
            </w:r>
          </w:p>
        </w:tc>
        <w:tc>
          <w:tcPr>
            <w:tcW w:type="dxa" w:w="2160"/>
          </w:tcPr>
          <w:p>
            <w:r>
              <w:rPr>
                <w:rFonts w:ascii="Calibri" w:hAnsi="Calibri"/>
                <w:b/>
                <w:color w:val="30A46C"/>
                <w:sz w:val="22"/>
              </w:rPr>
              <w:t>Record inflows; 2x prior year</w:t>
            </w:r>
          </w:p>
        </w:tc>
        <w:tc>
          <w:tcPr>
            <w:tcW w:type="dxa" w:w="2160"/>
          </w:tcPr>
          <w:p>
            <w:r>
              <w:rPr>
                <w:rFonts w:ascii="Calibri" w:hAnsi="Calibri"/>
                <w:b/>
                <w:color w:val="30A46C"/>
                <w:sz w:val="22"/>
              </w:rPr>
              <w:t>Strongest in 4.5 years</w:t>
            </w:r>
          </w:p>
        </w:tc>
        <w:tc>
          <w:tcPr>
            <w:tcW w:type="dxa" w:w="2160"/>
          </w:tcPr>
          <w:p>
            <w:r>
              <w:rPr>
                <w:rFonts w:ascii="Calibri" w:hAnsi="Calibri"/>
                <w:sz w:val="22"/>
              </w:rPr>
              <w:t>Positive — confirms IVZ's strong Q2 flow narrative</w:t>
            </w:r>
          </w:p>
        </w:tc>
      </w:tr>
      <w:tr>
        <w:tc>
          <w:tcPr>
            <w:tcW w:type="dxa" w:w="2160"/>
          </w:tcPr>
          <w:p>
            <w:r>
              <w:rPr>
                <w:rFonts w:ascii="Calibri" w:hAnsi="Calibri"/>
                <w:sz w:val="22"/>
              </w:rPr>
              <w:t>ETF Demand</w:t>
            </w:r>
          </w:p>
        </w:tc>
        <w:tc>
          <w:tcPr>
            <w:tcW w:type="dxa" w:w="2160"/>
          </w:tcPr>
          <w:p>
            <w:r>
              <w:rPr>
                <w:rFonts w:ascii="Calibri" w:hAnsi="Calibri"/>
                <w:b/>
                <w:color w:val="30A46C"/>
                <w:sz w:val="22"/>
              </w:rPr>
              <w:t>$178B iShares inflows; active ETF momentum</w:t>
            </w:r>
          </w:p>
        </w:tc>
        <w:tc>
          <w:tcPr>
            <w:tcW w:type="dxa" w:w="2160"/>
          </w:tcPr>
          <w:p>
            <w:r>
              <w:rPr>
                <w:rFonts w:ascii="Calibri" w:hAnsi="Calibri"/>
                <w:b/>
                <w:color w:val="30A46C"/>
                <w:sz w:val="22"/>
              </w:rPr>
              <w:t>Active ETFs &gt;$1B; all strategies moving to ETF</w:t>
            </w:r>
          </w:p>
        </w:tc>
        <w:tc>
          <w:tcPr>
            <w:tcW w:type="dxa" w:w="2160"/>
          </w:tcPr>
          <w:p>
            <w:r>
              <w:rPr>
                <w:rFonts w:ascii="Calibri" w:hAnsi="Calibri"/>
                <w:sz w:val="22"/>
              </w:rPr>
              <w:t>Positive — IVZ's $1.2T ETF platform benefits</w:t>
            </w:r>
          </w:p>
        </w:tc>
      </w:tr>
      <w:tr>
        <w:tc>
          <w:tcPr>
            <w:tcW w:type="dxa" w:w="2160"/>
          </w:tcPr>
          <w:p>
            <w:r>
              <w:rPr>
                <w:rFonts w:ascii="Calibri" w:hAnsi="Calibri"/>
                <w:sz w:val="22"/>
              </w:rPr>
              <w:t>Operating Margin</w:t>
            </w:r>
          </w:p>
        </w:tc>
        <w:tc>
          <w:tcPr>
            <w:tcW w:type="dxa" w:w="2160"/>
          </w:tcPr>
          <w:p>
            <w:r>
              <w:rPr>
                <w:rFonts w:ascii="Calibri" w:hAnsi="Calibri"/>
                <w:b/>
                <w:color w:val="30A46C"/>
                <w:sz w:val="22"/>
              </w:rPr>
              <w:t>45.9% (+260 bps YoY); not a ceiling</w:t>
            </w:r>
          </w:p>
        </w:tc>
        <w:tc>
          <w:tcPr>
            <w:tcW w:type="dxa" w:w="2160"/>
          </w:tcPr>
          <w:p>
            <w:r>
              <w:rPr>
                <w:rFonts w:ascii="Calibri" w:hAnsi="Calibri"/>
                <w:b/>
                <w:color w:val="30A46C"/>
                <w:sz w:val="22"/>
              </w:rPr>
              <w:t>36.3%; expense growth below revenue</w:t>
            </w:r>
          </w:p>
        </w:tc>
        <w:tc>
          <w:tcPr>
            <w:tcW w:type="dxa" w:w="2160"/>
          </w:tcPr>
          <w:p>
            <w:r>
              <w:rPr>
                <w:rFonts w:ascii="Calibri" w:hAnsi="Calibri"/>
                <w:sz w:val="22"/>
              </w:rPr>
              <w:t>Positive — validates IVZ's high-30s margin path</w:t>
            </w:r>
          </w:p>
        </w:tc>
      </w:tr>
      <w:tr>
        <w:tc>
          <w:tcPr>
            <w:tcW w:type="dxa" w:w="2160"/>
          </w:tcPr>
          <w:p>
            <w:r>
              <w:rPr>
                <w:rFonts w:ascii="Calibri" w:hAnsi="Calibri"/>
                <w:sz w:val="22"/>
              </w:rPr>
              <w:t>Market Environment</w:t>
            </w:r>
          </w:p>
        </w:tc>
        <w:tc>
          <w:tcPr>
            <w:tcW w:type="dxa" w:w="2160"/>
          </w:tcPr>
          <w:p>
            <w:r>
              <w:rPr>
                <w:rFonts w:ascii="Calibri" w:hAnsi="Calibri"/>
                <w:b/>
                <w:color w:val="30A46C"/>
                <w:sz w:val="22"/>
              </w:rPr>
              <w:t>"Very optimistic"; US equities at new highs</w:t>
            </w:r>
          </w:p>
        </w:tc>
        <w:tc>
          <w:tcPr>
            <w:tcW w:type="dxa" w:w="2160"/>
          </w:tcPr>
          <w:p>
            <w:r>
              <w:rPr>
                <w:rFonts w:ascii="Calibri" w:hAnsi="Calibri"/>
                <w:b/>
                <w:color w:val="30A46C"/>
                <w:sz w:val="22"/>
              </w:rPr>
              <w:t>Resilient economy; real assets outperforming</w:t>
            </w:r>
          </w:p>
        </w:tc>
        <w:tc>
          <w:tcPr>
            <w:tcW w:type="dxa" w:w="2160"/>
          </w:tcPr>
          <w:p>
            <w:r>
              <w:rPr>
                <w:rFonts w:ascii="Calibri" w:hAnsi="Calibri"/>
                <w:sz w:val="22"/>
              </w:rPr>
              <w:t>Positive — supports AUM appreciation and fee revenue</w:t>
            </w:r>
          </w:p>
        </w:tc>
      </w:tr>
      <w:tr>
        <w:tc>
          <w:tcPr>
            <w:tcW w:type="dxa" w:w="2160"/>
          </w:tcPr>
          <w:p>
            <w:r>
              <w:rPr>
                <w:rFonts w:ascii="Calibri" w:hAnsi="Calibri"/>
                <w:sz w:val="22"/>
              </w:rPr>
              <w:t>International / Asia</w:t>
            </w:r>
          </w:p>
        </w:tc>
        <w:tc>
          <w:tcPr>
            <w:tcW w:type="dxa" w:w="2160"/>
          </w:tcPr>
          <w:p>
            <w:r>
              <w:rPr>
                <w:rFonts w:ascii="Calibri" w:hAnsi="Calibri"/>
                <w:b/>
                <w:color w:val="30A46C"/>
                <w:sz w:val="22"/>
              </w:rPr>
              <w:t>Europe $80B YTD; Asia Pacific $100B+ in quarter</w:t>
            </w:r>
          </w:p>
        </w:tc>
        <w:tc>
          <w:tcPr>
            <w:tcW w:type="dxa" w:w="2160"/>
          </w:tcPr>
          <w:p>
            <w:r>
              <w:rPr>
                <w:rFonts w:ascii="Calibri" w:hAnsi="Calibri"/>
                <w:b/>
                <w:color w:val="30A46C"/>
                <w:sz w:val="22"/>
              </w:rPr>
              <w:t>Global pipeline in 11 countries</w:t>
            </w:r>
          </w:p>
        </w:tc>
        <w:tc>
          <w:tcPr>
            <w:tcW w:type="dxa" w:w="2160"/>
          </w:tcPr>
          <w:p>
            <w:r>
              <w:rPr>
                <w:rFonts w:ascii="Calibri" w:hAnsi="Calibri"/>
                <w:sz w:val="22"/>
              </w:rPr>
              <w:t>Positive — validates IVZ's Asia/Europe growth narrative</w:t>
            </w:r>
          </w:p>
        </w:tc>
      </w:tr>
      <w:tr>
        <w:tc>
          <w:tcPr>
            <w:tcW w:type="dxa" w:w="2160"/>
          </w:tcPr>
          <w:p>
            <w:r>
              <w:rPr>
                <w:rFonts w:ascii="Calibri" w:hAnsi="Calibri"/>
                <w:sz w:val="22"/>
              </w:rPr>
              <w:t>Private Markets / Wealth</w:t>
            </w:r>
          </w:p>
        </w:tc>
        <w:tc>
          <w:tcPr>
            <w:tcW w:type="dxa" w:w="2160"/>
          </w:tcPr>
          <w:p>
            <w:r>
              <w:rPr>
                <w:rFonts w:ascii="Calibri" w:hAnsi="Calibri"/>
                <w:b/>
                <w:color w:val="30A46C"/>
                <w:sz w:val="22"/>
              </w:rPr>
              <w:t>$15B private markets inflows in Q2</w:t>
            </w:r>
          </w:p>
        </w:tc>
        <w:tc>
          <w:tcPr>
            <w:tcW w:type="dxa" w:w="2160"/>
          </w:tcPr>
          <w:p>
            <w:r>
              <w:rPr>
                <w:rFonts w:ascii="Calibri" w:hAnsi="Calibri"/>
                <w:b/>
                <w:color w:val="E5484D"/>
                <w:sz w:val="22"/>
              </w:rPr>
              <w:t>Private RE fundraising in wealth down ~5%</w:t>
            </w:r>
          </w:p>
        </w:tc>
        <w:tc>
          <w:tcPr>
            <w:tcW w:type="dxa" w:w="2160"/>
          </w:tcPr>
          <w:p>
            <w:r>
              <w:rPr>
                <w:rFonts w:ascii="Calibri" w:hAnsi="Calibri"/>
                <w:sz w:val="22"/>
              </w:rPr>
              <w:t>Mixed — institutional strong; wealth channel still slow</w:t>
            </w:r>
          </w:p>
        </w:tc>
      </w:tr>
      <w:tr>
        <w:tc>
          <w:tcPr>
            <w:tcW w:type="dxa" w:w="2160"/>
          </w:tcPr>
          <w:p>
            <w:r>
              <w:rPr>
                <w:rFonts w:ascii="Calibri" w:hAnsi="Calibri"/>
                <w:sz w:val="22"/>
              </w:rPr>
              <w:t>QQQ Competition</w:t>
            </w:r>
          </w:p>
        </w:tc>
        <w:tc>
          <w:tcPr>
            <w:tcW w:type="dxa" w:w="2160"/>
          </w:tcPr>
          <w:p>
            <w:r>
              <w:rPr>
                <w:rFonts w:ascii="Calibri" w:hAnsi="Calibri"/>
                <w:sz w:val="22"/>
              </w:rPr>
              <w:t>BLK confirmed Nasdaq 100 ETF filing; no launch timeline</w:t>
            </w:r>
          </w:p>
        </w:tc>
        <w:tc>
          <w:tcPr>
            <w:tcW w:type="dxa" w:w="2160"/>
          </w:tcPr>
          <w:p>
            <w:r>
              <w:rPr>
                <w:rFonts w:ascii="Calibri" w:hAnsi="Calibri"/>
                <w:sz w:val="22"/>
              </w:rPr>
              <w:t>N/A</w:t>
            </w:r>
          </w:p>
        </w:tc>
        <w:tc>
          <w:tcPr>
            <w:tcW w:type="dxa" w:w="2160"/>
          </w:tcPr>
          <w:p>
            <w:r>
              <w:rPr>
                <w:rFonts w:ascii="Calibri" w:hAnsi="Calibri"/>
                <w:sz w:val="22"/>
              </w:rPr>
              <w:t>Neutral/Watch — threat confirmed but not imminent</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