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Invesco Ltd. (IVZ)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Invesco Ltd.</w:t>
            </w:r>
          </w:p>
        </w:tc>
      </w:tr>
      <w:tr>
        <w:tc>
          <w:tcPr>
            <w:tcW w:type="dxa" w:w="4320"/>
          </w:tcPr>
          <w:p>
            <w:r>
              <w:rPr>
                <w:rFonts w:ascii="Calibri" w:hAnsi="Calibri"/>
                <w:b/>
                <w:sz w:val="22"/>
              </w:rPr>
              <w:t>Ticker</w:t>
            </w:r>
          </w:p>
        </w:tc>
        <w:tc>
          <w:tcPr>
            <w:tcW w:type="dxa" w:w="4320"/>
          </w:tcPr>
          <w:p>
            <w:r>
              <w:rPr>
                <w:rFonts w:ascii="Calibri" w:hAnsi="Calibri"/>
                <w:sz w:val="22"/>
              </w:rPr>
              <w:t>IVZ (NYSE)</w:t>
            </w:r>
          </w:p>
        </w:tc>
      </w:tr>
      <w:tr>
        <w:tc>
          <w:tcPr>
            <w:tcW w:type="dxa" w:w="4320"/>
          </w:tcPr>
          <w:p>
            <w:r>
              <w:rPr>
                <w:rFonts w:ascii="Calibri" w:hAnsi="Calibri"/>
                <w:b/>
                <w:sz w:val="22"/>
              </w:rPr>
              <w:t>Earnings Date</w:t>
            </w:r>
          </w:p>
        </w:tc>
        <w:tc>
          <w:tcPr>
            <w:tcW w:type="dxa" w:w="4320"/>
          </w:tcPr>
          <w:p>
            <w:r>
              <w:rPr>
                <w:rFonts w:ascii="Calibri" w:hAnsi="Calibri"/>
                <w:sz w:val="22"/>
              </w:rPr>
              <w:t>July 28, 2026 — 9:00 AM ET (Q2 2026 Earnings Call)</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w:t>
      </w:r>
      <w:r>
        <w:rPr>
          <w:rFonts w:ascii="Calibri" w:hAnsi="Calibri"/>
          <w:b/>
          <w:color w:val="525866"/>
          <w:sz w:val="22"/>
        </w:rPr>
        <w:t>AUM and flows are tracking well ahead of consensus</w:t>
      </w:r>
      <w:r>
        <w:rPr>
          <w:rFonts w:ascii="Calibri" w:hAnsi="Calibri"/>
          <w:color w:val="525866"/>
          <w:sz w:val="22"/>
        </w:rPr>
        <w:t>, and the QQQ’s $120B+ AUM surge in Q2 is the single biggest swing factor for both revenue and EPS.</w:t>
      </w:r>
    </w:p>
    <w:p>
      <w:r>
        <w:rPr>
          <w:rFonts w:ascii="Calibri" w:hAnsi="Calibri"/>
          <w:color w:val="525866"/>
          <w:sz w:val="22"/>
        </w:rPr>
        <w:t xml:space="preserve">Heading into Q2 2026 results, the bar looks beatable: consensus EPS of ~$0.66 has been revised up sharply from the ~$0.61 post-Q1 baseline, yet the AUM data already in hand — preliminary June 30 AUM of $2,470.3B vs. the ~$2,284B consensus as of early May — implies a meaningful revenue beat driven by the QQQ’s extraordinary $120B+ AUM expansion in just two months. </w:t>
      </w:r>
      <w:r>
        <w:rPr>
          <w:rFonts w:ascii="Calibri" w:hAnsi="Calibri"/>
          <w:b/>
          <w:color w:val="525866"/>
          <w:sz w:val="22"/>
        </w:rPr>
        <w:t>Management’s tone has been notably more confident since the Q1 print</w:t>
      </w:r>
      <w:r>
        <w:rPr>
          <w:rFonts w:ascii="Calibri" w:hAnsi="Calibri"/>
          <w:color w:val="525866"/>
          <w:sz w:val="22"/>
        </w:rPr>
        <w:t xml:space="preserve">: at the June Morgan Stanley Financials Conference, the CFO described “massive revenue growth” for Q2 and reiterated the path to high-30s operating margin, framing Q1’s 34.5% as the seasonally low trough. Estimate revisions have tracked the AUM data closely, with EPS consensus rising ~9% and long-term net flow consensus nearly doubling from ~$27B to ~$45B since early May, suggesting the Street has partially caught up but may still be behind on the revenue line given the QQQ’s lower fee rate creating a yield headwind. </w:t>
      </w:r>
      <w:r>
        <w:rPr>
          <w:rFonts w:ascii="Calibri" w:hAnsi="Calibri"/>
          <w:b/>
          <w:color w:val="525866"/>
          <w:sz w:val="22"/>
        </w:rPr>
        <w:t>The stock has re-rated sharply — up ~16% since last earnings vs. XLF +10% — pricing in a solid quarter, so the stock’s reaction will hinge on whether management can demonstrate operating leverage and provide a constructive H2 outlook</w:t>
      </w:r>
      <w:r>
        <w:rPr>
          <w:rFonts w:ascii="Calibri" w:hAnsi="Calibri"/>
          <w:color w:val="525866"/>
          <w:sz w:val="22"/>
        </w:rPr>
        <w:t xml:space="preserve"> rather than just AUM growth. The key wildcard is the QQQ competitive threat: any update on BlackRock’s or State Street’s Nasdaq 100 ETF launch timelines or early market share data could overshadow an otherwise strong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low-to-moderate bar on EPS ($0.66) and net revenues ($1.33B)</w:t>
      </w:r>
      <w:r>
        <w:rPr>
          <w:rFonts w:ascii="Calibri" w:hAnsi="Calibri"/>
          <w:color w:val="525866"/>
          <w:sz w:val="22"/>
        </w:rPr>
        <w:t xml:space="preserve"> given the AUM data already disclosed; </w:t>
      </w:r>
      <w:r>
        <w:rPr>
          <w:rFonts w:ascii="Calibri" w:hAnsi="Calibri"/>
          <w:b/>
          <w:color w:val="525866"/>
          <w:sz w:val="22"/>
        </w:rPr>
        <w:t>long-term net flows ($44.9B consensus) are the bigger swing factor</w:t>
      </w:r>
      <w:r>
        <w:rPr>
          <w:rFonts w:ascii="Calibri" w:hAnsi="Calibri"/>
          <w:color w:val="525866"/>
          <w:sz w:val="22"/>
        </w:rPr>
        <w:t xml:space="preserve"> — the preliminary June AUM release implies Q2 flows are tracking well above the early-May consensus of ~$27B.</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Diluted EPS ($)</w:t>
            </w:r>
          </w:p>
        </w:tc>
        <w:tc>
          <w:tcPr>
            <w:tcW w:type="dxa" w:w="1234"/>
          </w:tcPr>
          <w:p>
            <w:r>
              <w:rPr>
                <w:rFonts w:ascii="Calibri" w:hAnsi="Calibri"/>
                <w:sz w:val="22"/>
              </w:rPr>
              <w:t>$0.57</w:t>
            </w:r>
          </w:p>
        </w:tc>
        <w:tc>
          <w:tcPr>
            <w:tcW w:type="dxa" w:w="1234"/>
          </w:tcPr>
          <w:p>
            <w:r>
              <w:rPr>
                <w:rFonts w:ascii="Calibri" w:hAnsi="Calibri"/>
                <w:sz w:val="22"/>
              </w:rPr>
              <w:t>$0.36</w:t>
            </w:r>
          </w:p>
        </w:tc>
        <w:tc>
          <w:tcPr>
            <w:tcW w:type="dxa" w:w="1234"/>
          </w:tcPr>
          <w:p>
            <w:r>
              <w:rPr>
                <w:rFonts w:ascii="Calibri" w:hAnsi="Calibri"/>
                <w:sz w:val="22"/>
              </w:rPr>
              <w:t>$0.664</w:t>
            </w:r>
          </w:p>
        </w:tc>
        <w:tc>
          <w:tcPr>
            <w:tcW w:type="dxa" w:w="1234"/>
          </w:tcPr>
          <w:p>
            <w:r>
              <w:rPr>
                <w:rFonts w:ascii="Calibri" w:hAnsi="Calibri"/>
                <w:sz w:val="22"/>
              </w:rPr>
              <w:t>+84% YoY</w:t>
            </w:r>
          </w:p>
        </w:tc>
        <w:tc>
          <w:tcPr>
            <w:tcW w:type="dxa" w:w="1234"/>
          </w:tcPr>
          <w:p>
            <w:r>
              <w:rPr>
                <w:rFonts w:ascii="Calibri" w:hAnsi="Calibri"/>
                <w:sz w:val="22"/>
              </w:rPr>
              <w:t>No specific EPS guidance</w:t>
            </w:r>
          </w:p>
        </w:tc>
        <w:tc>
          <w:tcPr>
            <w:tcW w:type="dxa" w:w="1234"/>
          </w:tcPr>
          <w:p>
            <w:r>
              <w:rPr>
                <w:rFonts w:ascii="Calibri" w:hAnsi="Calibri"/>
                <w:sz w:val="22"/>
              </w:rPr>
              <w:t>N/A</w:t>
            </w:r>
          </w:p>
        </w:tc>
      </w:tr>
      <w:tr>
        <w:tc>
          <w:tcPr>
            <w:tcW w:type="dxa" w:w="1234"/>
          </w:tcPr>
          <w:p>
            <w:r>
              <w:rPr>
                <w:rFonts w:ascii="Calibri" w:hAnsi="Calibri"/>
                <w:sz w:val="22"/>
              </w:rPr>
              <w:t>Ending AUM ($B)</w:t>
            </w:r>
          </w:p>
        </w:tc>
        <w:tc>
          <w:tcPr>
            <w:tcW w:type="dxa" w:w="1234"/>
          </w:tcPr>
          <w:p>
            <w:r>
              <w:rPr>
                <w:rFonts w:ascii="Calibri" w:hAnsi="Calibri"/>
                <w:sz w:val="22"/>
              </w:rPr>
              <w:t>$2,159.5B</w:t>
            </w:r>
          </w:p>
        </w:tc>
        <w:tc>
          <w:tcPr>
            <w:tcW w:type="dxa" w:w="1234"/>
          </w:tcPr>
          <w:p>
            <w:r>
              <w:rPr>
                <w:rFonts w:ascii="Calibri" w:hAnsi="Calibri"/>
                <w:sz w:val="22"/>
              </w:rPr>
              <w:t>$2,001.4B</w:t>
            </w:r>
          </w:p>
        </w:tc>
        <w:tc>
          <w:tcPr>
            <w:tcW w:type="dxa" w:w="1234"/>
          </w:tcPr>
          <w:p>
            <w:r>
              <w:rPr>
                <w:rFonts w:ascii="Calibri" w:hAnsi="Calibri"/>
                <w:sz w:val="22"/>
              </w:rPr>
              <w:t>$2,473.2B</w:t>
            </w:r>
          </w:p>
        </w:tc>
        <w:tc>
          <w:tcPr>
            <w:tcW w:type="dxa" w:w="1234"/>
          </w:tcPr>
          <w:p>
            <w:r>
              <w:rPr>
                <w:rFonts w:ascii="Calibri" w:hAnsi="Calibri"/>
                <w:sz w:val="22"/>
              </w:rPr>
              <w:t>+23.6% YoY</w:t>
            </w:r>
          </w:p>
        </w:tc>
        <w:tc>
          <w:tcPr>
            <w:tcW w:type="dxa" w:w="1234"/>
          </w:tcPr>
          <w:p>
            <w:r>
              <w:rPr>
                <w:rFonts w:ascii="Calibri" w:hAnsi="Calibri"/>
                <w:sz w:val="22"/>
              </w:rPr>
              <w:t>No specific AUM guidance</w:t>
            </w:r>
          </w:p>
        </w:tc>
        <w:tc>
          <w:tcPr>
            <w:tcW w:type="dxa" w:w="1234"/>
          </w:tcPr>
          <w:p>
            <w:r>
              <w:rPr>
                <w:rFonts w:ascii="Calibri" w:hAnsi="Calibri"/>
                <w:sz w:val="22"/>
              </w:rPr>
              <w:t>N/A</w:t>
            </w:r>
          </w:p>
        </w:tc>
      </w:tr>
      <w:tr>
        <w:tc>
          <w:tcPr>
            <w:tcW w:type="dxa" w:w="1234"/>
          </w:tcPr>
          <w:p>
            <w:r>
              <w:rPr>
                <w:rFonts w:ascii="Calibri" w:hAnsi="Calibri"/>
                <w:sz w:val="22"/>
              </w:rPr>
              <w:t>Long-Term Net Flows ($B)</w:t>
            </w:r>
          </w:p>
        </w:tc>
        <w:tc>
          <w:tcPr>
            <w:tcW w:type="dxa" w:w="1234"/>
          </w:tcPr>
          <w:p>
            <w:r>
              <w:rPr>
                <w:rFonts w:ascii="Calibri" w:hAnsi="Calibri"/>
                <w:sz w:val="22"/>
              </w:rPr>
              <w:t>$21.8B</w:t>
            </w:r>
          </w:p>
        </w:tc>
        <w:tc>
          <w:tcPr>
            <w:tcW w:type="dxa" w:w="1234"/>
          </w:tcPr>
          <w:p>
            <w:r>
              <w:rPr>
                <w:rFonts w:ascii="Calibri" w:hAnsi="Calibri"/>
                <w:sz w:val="22"/>
              </w:rPr>
              <w:t>$15.6B</w:t>
            </w:r>
          </w:p>
        </w:tc>
        <w:tc>
          <w:tcPr>
            <w:tcW w:type="dxa" w:w="1234"/>
          </w:tcPr>
          <w:p>
            <w:r>
              <w:rPr>
                <w:rFonts w:ascii="Calibri" w:hAnsi="Calibri"/>
                <w:sz w:val="22"/>
              </w:rPr>
              <w:t>$44.9B</w:t>
            </w:r>
          </w:p>
        </w:tc>
        <w:tc>
          <w:tcPr>
            <w:tcW w:type="dxa" w:w="1234"/>
          </w:tcPr>
          <w:p>
            <w:r>
              <w:rPr>
                <w:rFonts w:ascii="Calibri" w:hAnsi="Calibri"/>
                <w:sz w:val="22"/>
              </w:rPr>
              <w:t>+188% YoY</w:t>
            </w:r>
          </w:p>
        </w:tc>
        <w:tc>
          <w:tcPr>
            <w:tcW w:type="dxa" w:w="1234"/>
          </w:tcPr>
          <w:p>
            <w:r>
              <w:rPr>
                <w:rFonts w:ascii="Calibri" w:hAnsi="Calibri"/>
                <w:sz w:val="22"/>
              </w:rPr>
              <w:t>No specific flow guidance</w:t>
            </w:r>
          </w:p>
        </w:tc>
        <w:tc>
          <w:tcPr>
            <w:tcW w:type="dxa" w:w="1234"/>
          </w:tcPr>
          <w:p>
            <w:r>
              <w:rPr>
                <w:rFonts w:ascii="Calibri" w:hAnsi="Calibri"/>
                <w:sz w:val="22"/>
              </w:rPr>
              <w:t>N/A</w:t>
            </w:r>
          </w:p>
        </w:tc>
      </w:tr>
      <w:tr>
        <w:tc>
          <w:tcPr>
            <w:tcW w:type="dxa" w:w="1234"/>
          </w:tcPr>
          <w:p>
            <w:r>
              <w:rPr>
                <w:rFonts w:ascii="Calibri" w:hAnsi="Calibri"/>
                <w:sz w:val="22"/>
              </w:rPr>
              <w:t>Net Revenues — Operating ($B)</w:t>
            </w:r>
          </w:p>
        </w:tc>
        <w:tc>
          <w:tcPr>
            <w:tcW w:type="dxa" w:w="1234"/>
          </w:tcPr>
          <w:p>
            <w:r>
              <w:rPr>
                <w:rFonts w:ascii="Calibri" w:hAnsi="Calibri"/>
                <w:sz w:val="22"/>
              </w:rPr>
              <w:t>$1.264B</w:t>
            </w:r>
          </w:p>
        </w:tc>
        <w:tc>
          <w:tcPr>
            <w:tcW w:type="dxa" w:w="1234"/>
          </w:tcPr>
          <w:p>
            <w:r>
              <w:rPr>
                <w:rFonts w:ascii="Calibri" w:hAnsi="Calibri"/>
                <w:sz w:val="22"/>
              </w:rPr>
              <w:t>$1.105B</w:t>
            </w:r>
          </w:p>
        </w:tc>
        <w:tc>
          <w:tcPr>
            <w:tcW w:type="dxa" w:w="1234"/>
          </w:tcPr>
          <w:p>
            <w:r>
              <w:rPr>
                <w:rFonts w:ascii="Calibri" w:hAnsi="Calibri"/>
                <w:sz w:val="22"/>
              </w:rPr>
              <w:t>$1.333B</w:t>
            </w:r>
          </w:p>
        </w:tc>
        <w:tc>
          <w:tcPr>
            <w:tcW w:type="dxa" w:w="1234"/>
          </w:tcPr>
          <w:p>
            <w:r>
              <w:rPr>
                <w:rFonts w:ascii="Calibri" w:hAnsi="Calibri"/>
                <w:sz w:val="22"/>
              </w:rPr>
              <w:t>+20.7% YoY</w:t>
            </w:r>
          </w:p>
        </w:tc>
        <w:tc>
          <w:tcPr>
            <w:tcW w:type="dxa" w:w="1234"/>
          </w:tcPr>
          <w:p>
            <w:r>
              <w:rPr>
                <w:rFonts w:ascii="Calibri" w:hAnsi="Calibri"/>
                <w:sz w:val="22"/>
              </w:rPr>
              <w:t>No specific revenue guidance</w:t>
            </w:r>
          </w:p>
        </w:tc>
        <w:tc>
          <w:tcPr>
            <w:tcW w:type="dxa" w:w="1234"/>
          </w:tcPr>
          <w:p>
            <w:r>
              <w:rPr>
                <w:rFonts w:ascii="Calibri" w:hAnsi="Calibri"/>
                <w:sz w:val="22"/>
              </w:rPr>
              <w:t>N/A</w:t>
            </w:r>
          </w:p>
        </w:tc>
      </w:tr>
      <w:tr>
        <w:tc>
          <w:tcPr>
            <w:tcW w:type="dxa" w:w="1234"/>
          </w:tcPr>
          <w:p>
            <w:r>
              <w:rPr>
                <w:rFonts w:ascii="Calibri" w:hAnsi="Calibri"/>
                <w:sz w:val="22"/>
              </w:rPr>
              <w:t>Operating Income — Operating ($M)</w:t>
            </w:r>
          </w:p>
        </w:tc>
        <w:tc>
          <w:tcPr>
            <w:tcW w:type="dxa" w:w="1234"/>
          </w:tcPr>
          <w:p>
            <w:r>
              <w:rPr>
                <w:rFonts w:ascii="Calibri" w:hAnsi="Calibri"/>
                <w:sz w:val="22"/>
              </w:rPr>
              <w:t>$436M</w:t>
            </w:r>
          </w:p>
        </w:tc>
        <w:tc>
          <w:tcPr>
            <w:tcW w:type="dxa" w:w="1234"/>
          </w:tcPr>
          <w:p>
            <w:r>
              <w:rPr>
                <w:rFonts w:ascii="Calibri" w:hAnsi="Calibri"/>
                <w:sz w:val="22"/>
              </w:rPr>
              <w:t>$344M</w:t>
            </w:r>
          </w:p>
        </w:tc>
        <w:tc>
          <w:tcPr>
            <w:tcW w:type="dxa" w:w="1234"/>
          </w:tcPr>
          <w:p>
            <w:r>
              <w:rPr>
                <w:rFonts w:ascii="Calibri" w:hAnsi="Calibri"/>
                <w:sz w:val="22"/>
              </w:rPr>
              <w:t>$488M</w:t>
            </w:r>
          </w:p>
        </w:tc>
        <w:tc>
          <w:tcPr>
            <w:tcW w:type="dxa" w:w="1234"/>
          </w:tcPr>
          <w:p>
            <w:r>
              <w:rPr>
                <w:rFonts w:ascii="Calibri" w:hAnsi="Calibri"/>
                <w:sz w:val="22"/>
              </w:rPr>
              <w:t>+41.9% YoY</w:t>
            </w:r>
          </w:p>
        </w:tc>
        <w:tc>
          <w:tcPr>
            <w:tcW w:type="dxa" w:w="1234"/>
          </w:tcPr>
          <w:p>
            <w:r>
              <w:rPr>
                <w:rFonts w:ascii="Calibri" w:hAnsi="Calibri"/>
                <w:sz w:val="22"/>
              </w:rPr>
              <w:t>High-30s op. margin (path)</w:t>
            </w:r>
          </w:p>
        </w:tc>
        <w:tc>
          <w:tcPr>
            <w:tcW w:type="dxa" w:w="1234"/>
          </w:tcPr>
          <w:p>
            <w:r>
              <w:rPr>
                <w:rFonts w:ascii="Calibri" w:hAnsi="Calibri"/>
                <w:sz w:val="22"/>
              </w:rPr>
              <w:t>N/A (margin target)</w:t>
            </w:r>
          </w:p>
        </w:tc>
      </w:tr>
      <w:tr>
        <w:tc>
          <w:tcPr>
            <w:tcW w:type="dxa" w:w="1234"/>
          </w:tcPr>
          <w:p>
            <w:r>
              <w:rPr>
                <w:rFonts w:ascii="Calibri" w:hAnsi="Calibri"/>
                <w:sz w:val="22"/>
              </w:rPr>
              <w:t>Net Revenue Yield — Operating (bps)</w:t>
            </w:r>
          </w:p>
        </w:tc>
        <w:tc>
          <w:tcPr>
            <w:tcW w:type="dxa" w:w="1234"/>
          </w:tcPr>
          <w:p>
            <w:r>
              <w:rPr>
                <w:rFonts w:ascii="Calibri" w:hAnsi="Calibri"/>
                <w:sz w:val="22"/>
              </w:rPr>
              <w:t>22.8 bps (exit)</w:t>
            </w:r>
          </w:p>
        </w:tc>
        <w:tc>
          <w:tcPr>
            <w:tcW w:type="dxa" w:w="1234"/>
          </w:tcPr>
          <w:p>
            <w:r>
              <w:rPr>
                <w:rFonts w:ascii="Calibri" w:hAnsi="Calibri"/>
                <w:sz w:val="22"/>
              </w:rPr>
              <w:t>23.3 bps</w:t>
            </w:r>
          </w:p>
        </w:tc>
        <w:tc>
          <w:tcPr>
            <w:tcW w:type="dxa" w:w="1234"/>
          </w:tcPr>
          <w:p>
            <w:r>
              <w:rPr>
                <w:rFonts w:ascii="Calibri" w:hAnsi="Calibri"/>
                <w:sz w:val="22"/>
              </w:rPr>
              <w:t>22.6 bps</w:t>
            </w:r>
          </w:p>
        </w:tc>
        <w:tc>
          <w:tcPr>
            <w:tcW w:type="dxa" w:w="1234"/>
          </w:tcPr>
          <w:p>
            <w:r>
              <w:rPr>
                <w:rFonts w:ascii="Calibri" w:hAnsi="Calibri"/>
                <w:sz w:val="22"/>
              </w:rPr>
              <w:t>-0.7 bps YoY</w:t>
            </w:r>
          </w:p>
        </w:tc>
        <w:tc>
          <w:tcPr>
            <w:tcW w:type="dxa" w:w="1234"/>
          </w:tcPr>
          <w:p>
            <w:r>
              <w:rPr>
                <w:rFonts w:ascii="Calibri" w:hAnsi="Calibri"/>
                <w:sz w:val="22"/>
              </w:rPr>
              <w:t>Modest pressure from QQQ mix</w:t>
            </w:r>
          </w:p>
        </w:tc>
        <w:tc>
          <w:tcPr>
            <w:tcW w:type="dxa" w:w="1234"/>
          </w:tcPr>
          <w:p>
            <w:r>
              <w:rPr>
                <w:rFonts w:ascii="Calibri" w:hAnsi="Calibri"/>
                <w:sz w:val="22"/>
              </w:rPr>
              <w:t>~in-line</w:t>
            </w:r>
          </w:p>
        </w:tc>
      </w:tr>
    </w:tbl>
    <w:p>
      <w:r>
        <w:rPr>
          <w:rFonts w:ascii="Calibri" w:hAnsi="Calibri"/>
          <w:i/>
          <w:color w:val="525866"/>
          <w:sz w:val="22"/>
        </w:rPr>
        <w:t xml:space="preserve">Sources: </w:t>
      </w:r>
      <w:r>
        <w:rPr>
          <w:rFonts w:ascii="Calibri" w:hAnsi="Calibri"/>
          <w:i/>
          <w:color w:val="525866"/>
          <w:sz w:val="22"/>
        </w:rPr>
        <w:t>Visible Alpha Consensus and Actuals Data (EPS, AUM, Net Flows, Net Revenues, Operating Income, Net Revenue Yield); IVZ Q1 2026 Earnings Release (April 28, 2026); IVZ June 2026 AUM Release 8-K (July 10, 2026); IVZ Q1 2026 Earnings Call Transcript.</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Adj.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$0.43</w:t>
            </w:r>
          </w:p>
        </w:tc>
        <w:tc>
          <w:tcPr>
            <w:tcW w:type="dxa" w:w="1728"/>
          </w:tcPr>
          <w:p>
            <w:r>
              <w:rPr>
                <w:rFonts w:ascii="Calibri" w:hAnsi="Calibri"/>
                <w:sz w:val="22"/>
              </w:rPr>
              <w:t>$0.395</w:t>
            </w:r>
          </w:p>
        </w:tc>
        <w:tc>
          <w:tcPr>
            <w:tcW w:type="dxa" w:w="1728"/>
          </w:tcPr>
          <w:p>
            <w:r>
              <w:rPr>
                <w:rFonts w:ascii="Calibri" w:hAnsi="Calibri"/>
                <w:b/>
                <w:color w:val="30A46C"/>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$0.44</w:t>
            </w:r>
          </w:p>
        </w:tc>
        <w:tc>
          <w:tcPr>
            <w:tcW w:type="dxa" w:w="1728"/>
          </w:tcPr>
          <w:p>
            <w:r>
              <w:rPr>
                <w:rFonts w:ascii="Calibri" w:hAnsi="Calibri"/>
                <w:sz w:val="22"/>
              </w:rPr>
              <w:t>$0.432</w:t>
            </w:r>
          </w:p>
        </w:tc>
        <w:tc>
          <w:tcPr>
            <w:tcW w:type="dxa" w:w="1728"/>
          </w:tcPr>
          <w:p>
            <w:r>
              <w:rPr>
                <w:rFonts w:ascii="Calibri" w:hAnsi="Calibri"/>
                <w:b/>
                <w:color w:val="30A46C"/>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$0.52</w:t>
            </w:r>
          </w:p>
        </w:tc>
        <w:tc>
          <w:tcPr>
            <w:tcW w:type="dxa" w:w="1728"/>
          </w:tcPr>
          <w:p>
            <w:r>
              <w:rPr>
                <w:rFonts w:ascii="Calibri" w:hAnsi="Calibri"/>
                <w:sz w:val="22"/>
              </w:rPr>
              <w:t>$0.469</w:t>
            </w:r>
          </w:p>
        </w:tc>
        <w:tc>
          <w:tcPr>
            <w:tcW w:type="dxa" w:w="1728"/>
          </w:tcPr>
          <w:p>
            <w:r>
              <w:rPr>
                <w:rFonts w:ascii="Calibri" w:hAnsi="Calibri"/>
                <w:b/>
                <w:color w:val="30A46C"/>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$0.44</w:t>
            </w:r>
          </w:p>
        </w:tc>
        <w:tc>
          <w:tcPr>
            <w:tcW w:type="dxa" w:w="1728"/>
          </w:tcPr>
          <w:p>
            <w:r>
              <w:rPr>
                <w:rFonts w:ascii="Calibri" w:hAnsi="Calibri"/>
                <w:sz w:val="22"/>
              </w:rPr>
              <w:t>$0.383</w:t>
            </w:r>
          </w:p>
        </w:tc>
        <w:tc>
          <w:tcPr>
            <w:tcW w:type="dxa" w:w="1728"/>
          </w:tcPr>
          <w:p>
            <w:r>
              <w:rPr>
                <w:rFonts w:ascii="Calibri" w:hAnsi="Calibri"/>
                <w:b/>
                <w:color w:val="30A46C"/>
                <w:sz w:val="22"/>
              </w:rPr>
              <w:t>+14.9%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$0.36</w:t>
            </w:r>
          </w:p>
        </w:tc>
        <w:tc>
          <w:tcPr>
            <w:tcW w:type="dxa" w:w="1728"/>
          </w:tcPr>
          <w:p>
            <w:r>
              <w:rPr>
                <w:rFonts w:ascii="Calibri" w:hAnsi="Calibri"/>
                <w:sz w:val="22"/>
              </w:rPr>
              <w:t>$0.408</w:t>
            </w:r>
          </w:p>
        </w:tc>
        <w:tc>
          <w:tcPr>
            <w:tcW w:type="dxa" w:w="1728"/>
          </w:tcPr>
          <w:p>
            <w:r>
              <w:rPr>
                <w:rFonts w:ascii="Calibri" w:hAnsi="Calibri"/>
                <w:b/>
                <w:color w:val="E5484D"/>
                <w:sz w:val="22"/>
              </w:rPr>
              <w:t>-11.8%</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$0.61</w:t>
            </w:r>
          </w:p>
        </w:tc>
        <w:tc>
          <w:tcPr>
            <w:tcW w:type="dxa" w:w="1728"/>
          </w:tcPr>
          <w:p>
            <w:r>
              <w:rPr>
                <w:rFonts w:ascii="Calibri" w:hAnsi="Calibri"/>
                <w:sz w:val="22"/>
              </w:rPr>
              <w:t>$0.436</w:t>
            </w:r>
          </w:p>
        </w:tc>
        <w:tc>
          <w:tcPr>
            <w:tcW w:type="dxa" w:w="1728"/>
          </w:tcPr>
          <w:p>
            <w:r>
              <w:rPr>
                <w:rFonts w:ascii="Calibri" w:hAnsi="Calibri"/>
                <w:b/>
                <w:color w:val="30A46C"/>
                <w:sz w:val="22"/>
              </w:rPr>
              <w:t>+39.9%</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$0.62</w:t>
            </w:r>
          </w:p>
        </w:tc>
        <w:tc>
          <w:tcPr>
            <w:tcW w:type="dxa" w:w="1728"/>
          </w:tcPr>
          <w:p>
            <w:r>
              <w:rPr>
                <w:rFonts w:ascii="Calibri" w:hAnsi="Calibri"/>
                <w:sz w:val="22"/>
              </w:rPr>
              <w:t>$0.583</w:t>
            </w:r>
          </w:p>
        </w:tc>
        <w:tc>
          <w:tcPr>
            <w:tcW w:type="dxa" w:w="1728"/>
          </w:tcPr>
          <w:p>
            <w:r>
              <w:rPr>
                <w:rFonts w:ascii="Calibri" w:hAnsi="Calibri"/>
                <w:b/>
                <w:color w:val="30A46C"/>
                <w:sz w:val="22"/>
              </w:rPr>
              <w:t>+6.3%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$0.57</w:t>
            </w:r>
          </w:p>
        </w:tc>
        <w:tc>
          <w:tcPr>
            <w:tcW w:type="dxa" w:w="1728"/>
          </w:tcPr>
          <w:p>
            <w:r>
              <w:rPr>
                <w:rFonts w:ascii="Calibri" w:hAnsi="Calibri"/>
                <w:sz w:val="22"/>
              </w:rPr>
              <w:t>$0.575</w:t>
            </w:r>
          </w:p>
        </w:tc>
        <w:tc>
          <w:tcPr>
            <w:tcW w:type="dxa" w:w="1728"/>
          </w:tcPr>
          <w:p>
            <w:r>
              <w:rPr>
                <w:rFonts w:ascii="Calibri" w:hAnsi="Calibri"/>
                <w:b/>
                <w:color w:val="E5484D"/>
                <w:sz w:val="22"/>
              </w:rPr>
              <w:t>-0.9%</w:t>
            </w:r>
          </w:p>
        </w:tc>
        <w:tc>
          <w:tcPr>
            <w:tcW w:type="dxa" w:w="1728"/>
          </w:tcPr>
          <w:p>
            <w:r>
              <w:rPr>
                <w:rFonts w:ascii="Calibri" w:hAnsi="Calibri"/>
                <w:b/>
                <w:color w:val="E5484D"/>
                <w:sz w:val="22"/>
              </w:rPr>
              <w:t>Slight Miss</w:t>
            </w:r>
          </w:p>
        </w:tc>
      </w:tr>
    </w:tbl>
    <w:p>
      <w:pPr>
        <w:pStyle w:val="Heading4"/>
      </w:pPr>
      <w:r>
        <w:rPr>
          <w:rFonts w:ascii="Calibri" w:hAnsi="Calibri"/>
          <w:b/>
          <w:color w:val="3B4259"/>
          <w:sz w:val="22"/>
        </w:rPr>
        <w:t>Long-Term Net Flows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$16.7B</w:t>
            </w:r>
          </w:p>
        </w:tc>
        <w:tc>
          <w:tcPr>
            <w:tcW w:type="dxa" w:w="1728"/>
          </w:tcPr>
          <w:p>
            <w:r>
              <w:rPr>
                <w:rFonts w:ascii="Calibri" w:hAnsi="Calibri"/>
                <w:sz w:val="22"/>
              </w:rPr>
              <w:t>$16.3B</w:t>
            </w:r>
          </w:p>
        </w:tc>
        <w:tc>
          <w:tcPr>
            <w:tcW w:type="dxa" w:w="1728"/>
          </w:tcPr>
          <w:p>
            <w:r>
              <w:rPr>
                <w:rFonts w:ascii="Calibri" w:hAnsi="Calibri"/>
                <w:b/>
                <w:color w:val="30A46C"/>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$16.5B</w:t>
            </w:r>
          </w:p>
        </w:tc>
        <w:tc>
          <w:tcPr>
            <w:tcW w:type="dxa" w:w="1728"/>
          </w:tcPr>
          <w:p>
            <w:r>
              <w:rPr>
                <w:rFonts w:ascii="Calibri" w:hAnsi="Calibri"/>
                <w:sz w:val="22"/>
              </w:rPr>
              <w:t>$16.5B</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2024</w:t>
            </w:r>
          </w:p>
        </w:tc>
        <w:tc>
          <w:tcPr>
            <w:tcW w:type="dxa" w:w="1728"/>
          </w:tcPr>
          <w:p>
            <w:r>
              <w:rPr>
                <w:rFonts w:ascii="Calibri" w:hAnsi="Calibri"/>
                <w:sz w:val="22"/>
              </w:rPr>
              <w:t>$25.6B</w:t>
            </w:r>
          </w:p>
        </w:tc>
        <w:tc>
          <w:tcPr>
            <w:tcW w:type="dxa" w:w="1728"/>
          </w:tcPr>
          <w:p>
            <w:r>
              <w:rPr>
                <w:rFonts w:ascii="Calibri" w:hAnsi="Calibri"/>
                <w:sz w:val="22"/>
              </w:rPr>
              <w:t>$24.7B</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$17.6B</w:t>
            </w:r>
          </w:p>
        </w:tc>
        <w:tc>
          <w:tcPr>
            <w:tcW w:type="dxa" w:w="1728"/>
          </w:tcPr>
          <w:p>
            <w:r>
              <w:rPr>
                <w:rFonts w:ascii="Calibri" w:hAnsi="Calibri"/>
                <w:sz w:val="22"/>
              </w:rPr>
              <w:t>$15.2B</w:t>
            </w:r>
          </w:p>
        </w:tc>
        <w:tc>
          <w:tcPr>
            <w:tcW w:type="dxa" w:w="1728"/>
          </w:tcPr>
          <w:p>
            <w:r>
              <w:rPr>
                <w:rFonts w:ascii="Calibri" w:hAnsi="Calibri"/>
                <w:b/>
                <w:color w:val="30A46C"/>
                <w:sz w:val="22"/>
              </w:rPr>
              <w:t>+15.6%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$15.6B</w:t>
            </w:r>
          </w:p>
        </w:tc>
        <w:tc>
          <w:tcPr>
            <w:tcW w:type="dxa" w:w="1728"/>
          </w:tcPr>
          <w:p>
            <w:r>
              <w:rPr>
                <w:rFonts w:ascii="Calibri" w:hAnsi="Calibri"/>
                <w:sz w:val="22"/>
              </w:rPr>
              <w:t>$13.9B</w:t>
            </w:r>
          </w:p>
        </w:tc>
        <w:tc>
          <w:tcPr>
            <w:tcW w:type="dxa" w:w="1728"/>
          </w:tcPr>
          <w:p>
            <w:r>
              <w:rPr>
                <w:rFonts w:ascii="Calibri" w:hAnsi="Calibri"/>
                <w:b/>
                <w:color w:val="30A46C"/>
                <w:sz w:val="22"/>
              </w:rPr>
              <w:t>+12.2%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$28.9B</w:t>
            </w:r>
          </w:p>
        </w:tc>
        <w:tc>
          <w:tcPr>
            <w:tcW w:type="dxa" w:w="1728"/>
          </w:tcPr>
          <w:p>
            <w:r>
              <w:rPr>
                <w:rFonts w:ascii="Calibri" w:hAnsi="Calibri"/>
                <w:sz w:val="22"/>
              </w:rPr>
              <w:t>$27.4B</w:t>
            </w:r>
          </w:p>
        </w:tc>
        <w:tc>
          <w:tcPr>
            <w:tcW w:type="dxa" w:w="1728"/>
          </w:tcPr>
          <w:p>
            <w:r>
              <w:rPr>
                <w:rFonts w:ascii="Calibri" w:hAnsi="Calibri"/>
                <w:b/>
                <w:color w:val="30A46C"/>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$19.1B</w:t>
            </w:r>
          </w:p>
        </w:tc>
        <w:tc>
          <w:tcPr>
            <w:tcW w:type="dxa" w:w="1728"/>
          </w:tcPr>
          <w:p>
            <w:r>
              <w:rPr>
                <w:rFonts w:ascii="Calibri" w:hAnsi="Calibri"/>
                <w:sz w:val="22"/>
              </w:rPr>
              <w:t>$18.9B</w:t>
            </w:r>
          </w:p>
        </w:tc>
        <w:tc>
          <w:tcPr>
            <w:tcW w:type="dxa" w:w="1728"/>
          </w:tcPr>
          <w:p>
            <w:r>
              <w:rPr>
                <w:rFonts w:ascii="Calibri" w:hAnsi="Calibri"/>
                <w:b/>
                <w:color w:val="30A46C"/>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$21.8B</w:t>
            </w:r>
          </w:p>
        </w:tc>
        <w:tc>
          <w:tcPr>
            <w:tcW w:type="dxa" w:w="1728"/>
          </w:tcPr>
          <w:p>
            <w:r>
              <w:rPr>
                <w:rFonts w:ascii="Calibri" w:hAnsi="Calibri"/>
                <w:sz w:val="22"/>
              </w:rPr>
              <w:t>$22.0B</w:t>
            </w:r>
          </w:p>
        </w:tc>
        <w:tc>
          <w:tcPr>
            <w:tcW w:type="dxa" w:w="1728"/>
          </w:tcPr>
          <w:p>
            <w:r>
              <w:rPr>
                <w:rFonts w:ascii="Calibri" w:hAnsi="Calibri"/>
                <w:b/>
                <w:color w:val="E5484D"/>
                <w:sz w:val="22"/>
              </w:rPr>
              <w:t>-1.0%</w:t>
            </w:r>
          </w:p>
        </w:tc>
        <w:tc>
          <w:tcPr>
            <w:tcW w:type="dxa" w:w="1728"/>
          </w:tcPr>
          <w:p>
            <w:r>
              <w:rPr>
                <w:rFonts w:ascii="Calibri" w:hAnsi="Calibri"/>
                <w:b/>
                <w:color w:val="E5484D"/>
                <w:sz w:val="22"/>
              </w:rPr>
              <w:t>Slight Miss</w:t>
            </w:r>
          </w:p>
        </w:tc>
      </w:tr>
    </w:tbl>
    <w:p>
      <w:r>
        <w:rPr>
          <w:rFonts w:ascii="Calibri" w:hAnsi="Calibri"/>
          <w:b/>
          <w:color w:val="525866"/>
          <w:sz w:val="22"/>
        </w:rPr>
        <w:t xml:space="preserve">Pattern: </w:t>
      </w:r>
      <w:r>
        <w:rPr>
          <w:rFonts w:ascii="Calibri" w:hAnsi="Calibri"/>
          <w:color w:val="525866"/>
          <w:sz w:val="22"/>
        </w:rPr>
        <w:t>IVZ has beaten EPS consensus in 6 of the last 8 quarters, with the two misses (Q2 2025 and Q1 2026) both driven by one-time items (QQQ reclassification costs and retirement provision timing). On long-term net flows, IVZ has beaten or matched consensus in 7 of 8 quarters, reflecting consistent organic growth momentum.</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shifted </w:t>
      </w:r>
      <w:r>
        <w:rPr>
          <w:rFonts w:ascii="Calibri" w:hAnsi="Calibri"/>
          <w:b/>
          <w:color w:val="525866"/>
          <w:sz w:val="22"/>
        </w:rPr>
        <w:t>meaningfully more confident since the Q1 print</w:t>
      </w:r>
      <w:r>
        <w:rPr>
          <w:rFonts w:ascii="Calibri" w:hAnsi="Calibri"/>
          <w:color w:val="525866"/>
          <w:sz w:val="22"/>
        </w:rPr>
        <w:t xml:space="preserve"> — the June Morgan Stanley conference disclosed QQQ AUM up ~$120B in two months and described “massive revenue growth” for Q2, while reiterating the path to high-30s operating margin. No formal guidance numbers were revised, but the qualitative bar has moved higher.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2026 Operating Expenses</w:t>
            </w:r>
          </w:p>
        </w:tc>
        <w:tc>
          <w:tcPr>
            <w:tcW w:type="dxa" w:w="1728"/>
          </w:tcPr>
          <w:p>
            <w:r>
              <w:rPr>
                <w:rFonts w:ascii="Calibri" w:hAnsi="Calibri"/>
                <w:sz w:val="22"/>
              </w:rPr>
              <w:t>~$3.275B (assuming flat markets from ~$2.3T AUM)</w:t>
            </w:r>
          </w:p>
        </w:tc>
        <w:tc>
          <w:tcPr>
            <w:tcW w:type="dxa" w:w="1728"/>
          </w:tcPr>
          <w:p>
            <w:r>
              <w:rPr>
                <w:rFonts w:ascii="Calibri" w:hAnsi="Calibri"/>
                <w:sz w:val="22"/>
              </w:rPr>
              <w:t>—</w:t>
            </w:r>
          </w:p>
        </w:tc>
        <w:tc>
          <w:tcPr>
            <w:tcW w:type="dxa" w:w="1728"/>
          </w:tcPr>
          <w:p>
            <w:r>
              <w:rPr>
                <w:rFonts w:ascii="Calibri" w:hAnsi="Calibri"/>
                <w:sz w:val="22"/>
              </w:rPr>
              <w:t>N/A (not tracked separately in VA)</w:t>
            </w:r>
          </w:p>
        </w:tc>
        <w:tc>
          <w:tcPr>
            <w:tcW w:type="dxa" w:w="1728"/>
          </w:tcPr>
          <w:p>
            <w:r>
              <w:rPr>
                <w:rFonts w:ascii="Calibri" w:hAnsi="Calibri"/>
                <w:sz w:val="22"/>
              </w:rPr>
              <w:t>Unchanged; ~25% of opex base is variable vs. net revenue</w:t>
            </w:r>
          </w:p>
        </w:tc>
      </w:tr>
      <w:tr>
        <w:tc>
          <w:tcPr>
            <w:tcW w:type="dxa" w:w="1728"/>
          </w:tcPr>
          <w:p>
            <w:r>
              <w:rPr>
                <w:rFonts w:ascii="Calibri" w:hAnsi="Calibri"/>
                <w:sz w:val="22"/>
              </w:rPr>
              <w:t>Hybrid Platform Implementation Costs (per quarter)</w:t>
            </w:r>
          </w:p>
        </w:tc>
        <w:tc>
          <w:tcPr>
            <w:tcW w:type="dxa" w:w="1728"/>
          </w:tcPr>
          <w:p>
            <w:r>
              <w:rPr>
                <w:rFonts w:ascii="Calibri" w:hAnsi="Calibri"/>
                <w:sz w:val="22"/>
              </w:rPr>
              <w:t>$10M–$15M per quarter through year-end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trending toward higher end as completion nears; ≥$60M cost savings expected in 2027</w:t>
            </w:r>
          </w:p>
        </w:tc>
      </w:tr>
      <w:tr>
        <w:tc>
          <w:tcPr>
            <w:tcW w:type="dxa" w:w="1728"/>
          </w:tcPr>
          <w:p>
            <w:r>
              <w:rPr>
                <w:rFonts w:ascii="Calibri" w:hAnsi="Calibri"/>
                <w:sz w:val="22"/>
              </w:rPr>
              <w:t>Compensation as % of Revenue</w:t>
            </w:r>
          </w:p>
        </w:tc>
        <w:tc>
          <w:tcPr>
            <w:tcW w:type="dxa" w:w="1728"/>
          </w:tcPr>
          <w:p>
            <w:r>
              <w:rPr>
                <w:rFonts w:ascii="Calibri" w:hAnsi="Calibri"/>
                <w:sz w:val="22"/>
              </w:rPr>
              <w:t>Midpoint of 38%–42% historical range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included $33M retirement provision and $15M payroll tax seasonality (non-recurring)</w:t>
            </w:r>
          </w:p>
        </w:tc>
      </w:tr>
      <w:tr>
        <w:tc>
          <w:tcPr>
            <w:tcW w:type="dxa" w:w="1728"/>
          </w:tcPr>
          <w:p>
            <w:r>
              <w:rPr>
                <w:rFonts w:ascii="Calibri" w:hAnsi="Calibri"/>
                <w:sz w:val="22"/>
              </w:rPr>
              <w:t>Marketing Budget (Full Year)</w:t>
            </w:r>
          </w:p>
        </w:tc>
        <w:tc>
          <w:tcPr>
            <w:tcW w:type="dxa" w:w="1728"/>
          </w:tcPr>
          <w:p>
            <w:r>
              <w:rPr>
                <w:rFonts w:ascii="Calibri" w:hAnsi="Calibri"/>
                <w:sz w:val="22"/>
              </w:rPr>
              <w:t>$60M–$100M (inclusive of QQQ marketing)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QQQ marketing now fully in run rate</w:t>
            </w:r>
          </w:p>
        </w:tc>
      </w:tr>
      <w:tr>
        <w:tc>
          <w:tcPr>
            <w:tcW w:type="dxa" w:w="1728"/>
          </w:tcPr>
          <w:p>
            <w:r>
              <w:rPr>
                <w:rFonts w:ascii="Calibri" w:hAnsi="Calibri"/>
                <w:sz w:val="22"/>
              </w:rPr>
              <w:t>Q2 2026 Non-GAAP Tax Rate</w:t>
            </w:r>
          </w:p>
        </w:tc>
        <w:tc>
          <w:tcPr>
            <w:tcW w:type="dxa" w:w="1728"/>
          </w:tcPr>
          <w:p>
            <w:r>
              <w:rPr>
                <w:rFonts w:ascii="Calibri" w:hAnsi="Calibri"/>
                <w:sz w:val="22"/>
              </w:rPr>
              <w:t>25%–26% (excl. discrete items)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Operating Margin Path</w:t>
            </w:r>
          </w:p>
        </w:tc>
        <w:tc>
          <w:tcPr>
            <w:tcW w:type="dxa" w:w="1728"/>
          </w:tcPr>
          <w:p>
            <w:r>
              <w:rPr>
                <w:rFonts w:ascii="Calibri" w:hAnsi="Calibri"/>
                <w:sz w:val="22"/>
              </w:rPr>
              <w:t>Mid-30s achieved; path to high-30s</w:t>
            </w:r>
          </w:p>
        </w:tc>
        <w:tc>
          <w:tcPr>
            <w:tcW w:type="dxa" w:w="1728"/>
          </w:tcPr>
          <w:p>
            <w:r>
              <w:rPr>
                <w:rFonts w:ascii="Calibri" w:hAnsi="Calibri"/>
                <w:sz w:val="22"/>
              </w:rPr>
              <w:t>↑ Reinforced at Morgan Stanley Conference (Jun 10, 2026)</w:t>
            </w:r>
          </w:p>
        </w:tc>
        <w:tc>
          <w:tcPr>
            <w:tcW w:type="dxa" w:w="1728"/>
          </w:tcPr>
          <w:p>
            <w:r>
              <w:rPr>
                <w:rFonts w:ascii="Calibri" w:hAnsi="Calibri"/>
                <w:sz w:val="22"/>
              </w:rPr>
              <w:t>~36.6% implied (Op. Inc. $488M / Rev. $1,333M)</w:t>
            </w:r>
          </w:p>
        </w:tc>
        <w:tc>
          <w:tcPr>
            <w:tcW w:type="dxa" w:w="1728"/>
          </w:tcPr>
          <w:p>
            <w:r>
              <w:rPr>
                <w:rFonts w:ascii="Calibri" w:hAnsi="Calibri"/>
                <w:sz w:val="22"/>
              </w:rPr>
              <w:t>↑ More confident tone; Q1 34.5% described as seasonally low; “massive revenue growth” expected in Q2</w:t>
            </w:r>
          </w:p>
        </w:tc>
      </w:tr>
      <w:tr>
        <w:tc>
          <w:tcPr>
            <w:tcW w:type="dxa" w:w="1728"/>
          </w:tcPr>
          <w:p>
            <w:r>
              <w:rPr>
                <w:rFonts w:ascii="Calibri" w:hAnsi="Calibri"/>
                <w:sz w:val="22"/>
              </w:rPr>
              <w:t>Net Revenue Yield</w:t>
            </w:r>
          </w:p>
        </w:tc>
        <w:tc>
          <w:tcPr>
            <w:tcW w:type="dxa" w:w="1728"/>
          </w:tcPr>
          <w:p>
            <w:r>
              <w:rPr>
                <w:rFonts w:ascii="Calibri" w:hAnsi="Calibri"/>
                <w:sz w:val="22"/>
              </w:rPr>
              <w:t>Exit rate 22.8 bps; 22%–23% third-party/distribution fee ratio</w:t>
            </w:r>
          </w:p>
        </w:tc>
        <w:tc>
          <w:tcPr>
            <w:tcW w:type="dxa" w:w="1728"/>
          </w:tcPr>
          <w:p>
            <w:r>
              <w:rPr>
                <w:rFonts w:ascii="Calibri" w:hAnsi="Calibri"/>
                <w:sz w:val="22"/>
              </w:rPr>
              <w:t>↓ Modest pressure flagged at Morgan Stanley Conference (Jun 10, 2026)</w:t>
            </w:r>
          </w:p>
        </w:tc>
        <w:tc>
          <w:tcPr>
            <w:tcW w:type="dxa" w:w="1728"/>
          </w:tcPr>
          <w:p>
            <w:r>
              <w:rPr>
                <w:rFonts w:ascii="Calibri" w:hAnsi="Calibri"/>
                <w:sz w:val="22"/>
              </w:rPr>
              <w:t>22.6 bps</w:t>
            </w:r>
          </w:p>
        </w:tc>
        <w:tc>
          <w:tcPr>
            <w:tcW w:type="dxa" w:w="1728"/>
          </w:tcPr>
          <w:p>
            <w:r>
              <w:rPr>
                <w:rFonts w:ascii="Calibri" w:hAnsi="Calibri"/>
                <w:sz w:val="22"/>
              </w:rPr>
              <w:t>↓ QQQ’s ~6 bps yield on $120B+ AUM growth creates mix headwind; management de-emphasizes yield as a metric</w:t>
            </w:r>
          </w:p>
        </w:tc>
      </w:tr>
      <w:tr>
        <w:tc>
          <w:tcPr>
            <w:tcW w:type="dxa" w:w="1728"/>
          </w:tcPr>
          <w:p>
            <w:r>
              <w:rPr>
                <w:rFonts w:ascii="Calibri" w:hAnsi="Calibri"/>
                <w:sz w:val="22"/>
              </w:rPr>
              <w:t>Canada Partnership (CI Financial)</w:t>
            </w:r>
          </w:p>
        </w:tc>
        <w:tc>
          <w:tcPr>
            <w:tcW w:type="dxa" w:w="1728"/>
          </w:tcPr>
          <w:p>
            <w:r>
              <w:rPr>
                <w:rFonts w:ascii="Calibri" w:hAnsi="Calibri"/>
                <w:sz w:val="22"/>
              </w:rPr>
              <w:t>Close at end of Q2 2026; ~$19B AUM transition; $5M–$10M/qtr operating income headwind in Q3–Q4</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headwind expected to improve over time as sub-advisory relationship grows</w:t>
            </w:r>
          </w:p>
        </w:tc>
      </w:tr>
      <w:tr>
        <w:tc>
          <w:tcPr>
            <w:tcW w:type="dxa" w:w="1728"/>
          </w:tcPr>
          <w:p>
            <w:r>
              <w:rPr>
                <w:rFonts w:ascii="Calibri" w:hAnsi="Calibri"/>
                <w:sz w:val="22"/>
              </w:rPr>
              <w:t>Capital Returns</w:t>
            </w:r>
          </w:p>
        </w:tc>
        <w:tc>
          <w:tcPr>
            <w:tcW w:type="dxa" w:w="1728"/>
          </w:tcPr>
          <w:p>
            <w:r>
              <w:rPr>
                <w:rFonts w:ascii="Calibri" w:hAnsi="Calibri"/>
                <w:sz w:val="22"/>
              </w:rPr>
              <w:t>$40M/qtr buyback; ~60% total payout ratio target for 2026; reduce revolver balance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$1B buyback authorization in place</w:t>
            </w:r>
          </w:p>
        </w:tc>
      </w:tr>
    </w:tbl>
    <w:p>
      <w:r>
        <w:rPr>
          <w:rFonts w:ascii="Calibri" w:hAnsi="Calibri"/>
          <w:i/>
          <w:color w:val="525866"/>
          <w:sz w:val="22"/>
        </w:rPr>
        <w:t xml:space="preserve">Source: </w:t>
      </w:r>
      <w:r>
        <w:rPr>
          <w:rFonts w:ascii="Calibri" w:hAnsi="Calibri"/>
          <w:i/>
          <w:color w:val="525866"/>
          <w:sz w:val="22"/>
        </w:rPr>
        <w:t>IVZ Q1 2026 Earnings Call Transcript (April 28, 2026); IVZ Morgan Stanley U.S. Financials Conference Transcript (June 10,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revised up sharply since the Q1 print — </w:t>
      </w:r>
      <w:r>
        <w:rPr>
          <w:rFonts w:ascii="Calibri" w:hAnsi="Calibri"/>
          <w:b/>
          <w:color w:val="525866"/>
          <w:sz w:val="22"/>
        </w:rPr>
        <w:t>Q2 EPS consensus is up ~9% and long-term net flow consensus is up ~66% from the post-Q1 baseline</w:t>
      </w:r>
      <w:r>
        <w:rPr>
          <w:rFonts w:ascii="Calibri" w:hAnsi="Calibri"/>
          <w:color w:val="525866"/>
          <w:sz w:val="22"/>
        </w:rPr>
        <w:t xml:space="preserve"> — driven by the AUM data disclosed in monthly releases. Despite the upward revisions, the AUM data already in hand suggests consensus may still be conservative on flows and revenue.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 / Commentary</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EPS — Q2 2026</w:t>
            </w:r>
          </w:p>
        </w:tc>
        <w:tc>
          <w:tcPr>
            <w:tcW w:type="dxa" w:w="1080"/>
          </w:tcPr>
          <w:p>
            <w:r>
              <w:rPr>
                <w:rFonts w:ascii="Calibri" w:hAnsi="Calibri"/>
                <w:sz w:val="22"/>
              </w:rPr>
              <w:t>$0.605</w:t>
            </w:r>
          </w:p>
        </w:tc>
        <w:tc>
          <w:tcPr>
            <w:tcW w:type="dxa" w:w="1080"/>
          </w:tcPr>
          <w:p>
            <w:r>
              <w:rPr>
                <w:rFonts w:ascii="Calibri" w:hAnsi="Calibri"/>
                <w:sz w:val="22"/>
              </w:rPr>
              <w:t>$0.664</w:t>
            </w:r>
          </w:p>
        </w:tc>
        <w:tc>
          <w:tcPr>
            <w:tcW w:type="dxa" w:w="1080"/>
          </w:tcPr>
          <w:p>
            <w:r>
              <w:rPr>
                <w:rFonts w:ascii="Calibri" w:hAnsi="Calibri"/>
                <w:b/>
                <w:color w:val="30A46C"/>
                <w:sz w:val="22"/>
              </w:rPr>
              <w:t>+9.7%</w:t>
            </w:r>
          </w:p>
        </w:tc>
        <w:tc>
          <w:tcPr>
            <w:tcW w:type="dxa" w:w="1080"/>
          </w:tcPr>
          <w:p>
            <w:r>
              <w:rPr>
                <w:rFonts w:ascii="Calibri" w:hAnsi="Calibri"/>
                <w:sz w:val="22"/>
              </w:rPr>
              <w:t>No specific guidance</w:t>
            </w:r>
          </w:p>
        </w:tc>
        <w:tc>
          <w:tcPr>
            <w:tcW w:type="dxa" w:w="1080"/>
          </w:tcPr>
          <w:p>
            <w:r>
              <w:rPr>
                <w:rFonts w:ascii="Calibri" w:hAnsi="Calibri"/>
                <w:sz w:val="22"/>
              </w:rPr>
              <w:t>No specific guidance; “massive revenue growth” (Jun 10)</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$2.567</w:t>
            </w:r>
          </w:p>
        </w:tc>
        <w:tc>
          <w:tcPr>
            <w:tcW w:type="dxa" w:w="1080"/>
          </w:tcPr>
          <w:p>
            <w:r>
              <w:rPr>
                <w:rFonts w:ascii="Calibri" w:hAnsi="Calibri"/>
                <w:sz w:val="22"/>
              </w:rPr>
              <w:t>$2.850</w:t>
            </w:r>
          </w:p>
        </w:tc>
        <w:tc>
          <w:tcPr>
            <w:tcW w:type="dxa" w:w="1080"/>
          </w:tcPr>
          <w:p>
            <w:r>
              <w:rPr>
                <w:rFonts w:ascii="Calibri" w:hAnsi="Calibri"/>
                <w:b/>
                <w:color w:val="30A46C"/>
                <w:sz w:val="22"/>
              </w:rPr>
              <w:t>+11.0%</w:t>
            </w:r>
          </w:p>
        </w:tc>
        <w:tc>
          <w:tcPr>
            <w:tcW w:type="dxa" w:w="1080"/>
          </w:tcPr>
          <w:p>
            <w:r>
              <w:rPr>
                <w:rFonts w:ascii="Calibri" w:hAnsi="Calibri"/>
                <w:sz w:val="22"/>
              </w:rPr>
              <w:t>No specific guidance</w:t>
            </w:r>
          </w:p>
        </w:tc>
        <w:tc>
          <w:tcPr>
            <w:tcW w:type="dxa" w:w="1080"/>
          </w:tcPr>
          <w:p>
            <w:r>
              <w:rPr>
                <w:rFonts w:ascii="Calibri" w:hAnsi="Calibri"/>
                <w:sz w:val="22"/>
              </w:rPr>
              <w:t>No specific guidance; path to high-30s margin</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Ending AUM — Q2 2026 ($T)</w:t>
            </w:r>
          </w:p>
        </w:tc>
        <w:tc>
          <w:tcPr>
            <w:tcW w:type="dxa" w:w="1080"/>
          </w:tcPr>
          <w:p>
            <w:r>
              <w:rPr>
                <w:rFonts w:ascii="Calibri" w:hAnsi="Calibri"/>
                <w:sz w:val="22"/>
              </w:rPr>
              <w:t>$2.284T</w:t>
            </w:r>
          </w:p>
        </w:tc>
        <w:tc>
          <w:tcPr>
            <w:tcW w:type="dxa" w:w="1080"/>
          </w:tcPr>
          <w:p>
            <w:r>
              <w:rPr>
                <w:rFonts w:ascii="Calibri" w:hAnsi="Calibri"/>
                <w:sz w:val="22"/>
              </w:rPr>
              <w:t>$2.473T</w:t>
            </w:r>
          </w:p>
        </w:tc>
        <w:tc>
          <w:tcPr>
            <w:tcW w:type="dxa" w:w="1080"/>
          </w:tcPr>
          <w:p>
            <w:r>
              <w:rPr>
                <w:rFonts w:ascii="Calibri" w:hAnsi="Calibri"/>
                <w:b/>
                <w:color w:val="30A46C"/>
                <w:sz w:val="22"/>
              </w:rPr>
              <w:t>+8.3%</w:t>
            </w:r>
          </w:p>
        </w:tc>
        <w:tc>
          <w:tcPr>
            <w:tcW w:type="dxa" w:w="1080"/>
          </w:tcPr>
          <w:p>
            <w:r>
              <w:rPr>
                <w:rFonts w:ascii="Calibri" w:hAnsi="Calibri"/>
                <w:sz w:val="22"/>
              </w:rPr>
              <w:t>No specific guidance</w:t>
            </w:r>
          </w:p>
        </w:tc>
        <w:tc>
          <w:tcPr>
            <w:tcW w:type="dxa" w:w="1080"/>
          </w:tcPr>
          <w:p>
            <w:r>
              <w:rPr>
                <w:rFonts w:ascii="Calibri" w:hAnsi="Calibri"/>
                <w:sz w:val="22"/>
              </w:rPr>
              <w:t>Prelim. June 30 AUM: $2,470.3B (8-K, Jul 10)</w:t>
            </w:r>
          </w:p>
        </w:tc>
        <w:tc>
          <w:tcPr>
            <w:tcW w:type="dxa" w:w="1080"/>
          </w:tcPr>
          <w:p>
            <w:r>
              <w:rPr>
                <w:rFonts w:ascii="Calibri" w:hAnsi="Calibri"/>
                <w:sz w:val="22"/>
              </w:rPr>
              <w:t>N/A</w:t>
            </w:r>
          </w:p>
        </w:tc>
        <w:tc>
          <w:tcPr>
            <w:tcW w:type="dxa" w:w="1080"/>
          </w:tcPr>
          <w:p>
            <w:r>
              <w:rPr>
                <w:rFonts w:ascii="Calibri" w:hAnsi="Calibri"/>
                <w:sz w:val="22"/>
              </w:rPr>
              <w:t>~In-line with prelim.</w:t>
            </w:r>
          </w:p>
        </w:tc>
      </w:tr>
      <w:tr>
        <w:tc>
          <w:tcPr>
            <w:tcW w:type="dxa" w:w="1080"/>
          </w:tcPr>
          <w:p>
            <w:r>
              <w:rPr>
                <w:rFonts w:ascii="Calibri" w:hAnsi="Calibri"/>
                <w:sz w:val="22"/>
              </w:rPr>
              <w:t>Ending AUM — FY 2026 ($T)</w:t>
            </w:r>
          </w:p>
        </w:tc>
        <w:tc>
          <w:tcPr>
            <w:tcW w:type="dxa" w:w="1080"/>
          </w:tcPr>
          <w:p>
            <w:r>
              <w:rPr>
                <w:rFonts w:ascii="Calibri" w:hAnsi="Calibri"/>
                <w:sz w:val="22"/>
              </w:rPr>
              <w:t>$2.324T</w:t>
            </w:r>
          </w:p>
        </w:tc>
        <w:tc>
          <w:tcPr>
            <w:tcW w:type="dxa" w:w="1080"/>
          </w:tcPr>
          <w:p>
            <w:r>
              <w:rPr>
                <w:rFonts w:ascii="Calibri" w:hAnsi="Calibri"/>
                <w:sz w:val="22"/>
              </w:rPr>
              <w:t>$2.526T</w:t>
            </w:r>
          </w:p>
        </w:tc>
        <w:tc>
          <w:tcPr>
            <w:tcW w:type="dxa" w:w="1080"/>
          </w:tcPr>
          <w:p>
            <w:r>
              <w:rPr>
                <w:rFonts w:ascii="Calibri" w:hAnsi="Calibri"/>
                <w:b/>
                <w:color w:val="30A46C"/>
                <w:sz w:val="22"/>
              </w:rPr>
              <w:t>+8.7%</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Long-Term Net Flows — Q2 2026 ($B)</w:t>
            </w:r>
          </w:p>
        </w:tc>
        <w:tc>
          <w:tcPr>
            <w:tcW w:type="dxa" w:w="1080"/>
          </w:tcPr>
          <w:p>
            <w:r>
              <w:rPr>
                <w:rFonts w:ascii="Calibri" w:hAnsi="Calibri"/>
                <w:sz w:val="22"/>
              </w:rPr>
              <w:t>$27.0B</w:t>
            </w:r>
          </w:p>
        </w:tc>
        <w:tc>
          <w:tcPr>
            <w:tcW w:type="dxa" w:w="1080"/>
          </w:tcPr>
          <w:p>
            <w:r>
              <w:rPr>
                <w:rFonts w:ascii="Calibri" w:hAnsi="Calibri"/>
                <w:sz w:val="22"/>
              </w:rPr>
              <w:t>$44.9B</w:t>
            </w:r>
          </w:p>
        </w:tc>
        <w:tc>
          <w:tcPr>
            <w:tcW w:type="dxa" w:w="1080"/>
          </w:tcPr>
          <w:p>
            <w:r>
              <w:rPr>
                <w:rFonts w:ascii="Calibri" w:hAnsi="Calibri"/>
                <w:b/>
                <w:color w:val="30A46C"/>
                <w:sz w:val="22"/>
              </w:rPr>
              <w:t>+66.3%</w:t>
            </w:r>
          </w:p>
        </w:tc>
        <w:tc>
          <w:tcPr>
            <w:tcW w:type="dxa" w:w="1080"/>
          </w:tcPr>
          <w:p>
            <w:r>
              <w:rPr>
                <w:rFonts w:ascii="Calibri" w:hAnsi="Calibri"/>
                <w:sz w:val="22"/>
              </w:rPr>
              <w:t>No specific guidance</w:t>
            </w:r>
          </w:p>
        </w:tc>
        <w:tc>
          <w:tcPr>
            <w:tcW w:type="dxa" w:w="1080"/>
          </w:tcPr>
          <w:p>
            <w:r>
              <w:rPr>
                <w:rFonts w:ascii="Calibri" w:hAnsi="Calibri"/>
                <w:sz w:val="22"/>
              </w:rPr>
              <w:t>Apr ~$17–18B + May ~$19B disclosed (Jun 10); Jun $8B net LT inflows (Jul 10 8-K)</w:t>
            </w:r>
          </w:p>
        </w:tc>
        <w:tc>
          <w:tcPr>
            <w:tcW w:type="dxa" w:w="1080"/>
          </w:tcPr>
          <w:p>
            <w:r>
              <w:rPr>
                <w:rFonts w:ascii="Calibri" w:hAnsi="Calibri"/>
                <w:sz w:val="22"/>
              </w:rPr>
              <w:t>N/A</w:t>
            </w:r>
          </w:p>
        </w:tc>
        <w:tc>
          <w:tcPr>
            <w:tcW w:type="dxa" w:w="1080"/>
          </w:tcPr>
          <w:p>
            <w:r>
              <w:rPr>
                <w:rFonts w:ascii="Calibri" w:hAnsi="Calibri"/>
                <w:sz w:val="22"/>
              </w:rPr>
              <w:t>Consensus ~$45B vs. disclosed ~$44–45B — roughly in-line</w:t>
            </w:r>
          </w:p>
        </w:tc>
      </w:tr>
      <w:tr>
        <w:tc>
          <w:tcPr>
            <w:tcW w:type="dxa" w:w="1080"/>
          </w:tcPr>
          <w:p>
            <w:r>
              <w:rPr>
                <w:rFonts w:ascii="Calibri" w:hAnsi="Calibri"/>
                <w:sz w:val="22"/>
              </w:rPr>
              <w:t>Long-Term Net Flows — FY 2026 ($B)</w:t>
            </w:r>
          </w:p>
        </w:tc>
        <w:tc>
          <w:tcPr>
            <w:tcW w:type="dxa" w:w="1080"/>
          </w:tcPr>
          <w:p>
            <w:r>
              <w:rPr>
                <w:rFonts w:ascii="Calibri" w:hAnsi="Calibri"/>
                <w:sz w:val="22"/>
              </w:rPr>
              <w:t>$98.6B</w:t>
            </w:r>
          </w:p>
        </w:tc>
        <w:tc>
          <w:tcPr>
            <w:tcW w:type="dxa" w:w="1080"/>
          </w:tcPr>
          <w:p>
            <w:r>
              <w:rPr>
                <w:rFonts w:ascii="Calibri" w:hAnsi="Calibri"/>
                <w:sz w:val="22"/>
              </w:rPr>
              <w:t>$106.1B</w:t>
            </w:r>
          </w:p>
        </w:tc>
        <w:tc>
          <w:tcPr>
            <w:tcW w:type="dxa" w:w="1080"/>
          </w:tcPr>
          <w:p>
            <w:r>
              <w:rPr>
                <w:rFonts w:ascii="Calibri" w:hAnsi="Calibri"/>
                <w:b/>
                <w:color w:val="30A46C"/>
                <w:sz w:val="22"/>
              </w:rPr>
              <w:t>+7.6%</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Q2 2026 ($B)</w:t>
            </w:r>
          </w:p>
        </w:tc>
        <w:tc>
          <w:tcPr>
            <w:tcW w:type="dxa" w:w="1080"/>
          </w:tcPr>
          <w:p>
            <w:r>
              <w:rPr>
                <w:rFonts w:ascii="Calibri" w:hAnsi="Calibri"/>
                <w:sz w:val="22"/>
              </w:rPr>
              <w:t>$1.269B</w:t>
            </w:r>
          </w:p>
        </w:tc>
        <w:tc>
          <w:tcPr>
            <w:tcW w:type="dxa" w:w="1080"/>
          </w:tcPr>
          <w:p>
            <w:r>
              <w:rPr>
                <w:rFonts w:ascii="Calibri" w:hAnsi="Calibri"/>
                <w:sz w:val="22"/>
              </w:rPr>
              <w:t>$1.333B</w:t>
            </w:r>
          </w:p>
        </w:tc>
        <w:tc>
          <w:tcPr>
            <w:tcW w:type="dxa" w:w="1080"/>
          </w:tcPr>
          <w:p>
            <w:r>
              <w:rPr>
                <w:rFonts w:ascii="Calibri" w:hAnsi="Calibri"/>
                <w:b/>
                <w:color w:val="30A46C"/>
                <w:sz w:val="22"/>
              </w:rPr>
              <w:t>+5.0%</w:t>
            </w:r>
          </w:p>
        </w:tc>
        <w:tc>
          <w:tcPr>
            <w:tcW w:type="dxa" w:w="1080"/>
          </w:tcPr>
          <w:p>
            <w:r>
              <w:rPr>
                <w:rFonts w:ascii="Calibri" w:hAnsi="Calibri"/>
                <w:sz w:val="22"/>
              </w:rPr>
              <w:t>No specific guidance</w:t>
            </w:r>
          </w:p>
        </w:tc>
        <w:tc>
          <w:tcPr>
            <w:tcW w:type="dxa" w:w="1080"/>
          </w:tcPr>
          <w:p>
            <w:r>
              <w:rPr>
                <w:rFonts w:ascii="Calibri" w:hAnsi="Calibri"/>
                <w:sz w:val="22"/>
              </w:rPr>
              <w:t>“Massive revenue growth” for Q2 (Jun 10 conference)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FY 2026 ($B)</w:t>
            </w:r>
          </w:p>
        </w:tc>
        <w:tc>
          <w:tcPr>
            <w:tcW w:type="dxa" w:w="1080"/>
          </w:tcPr>
          <w:p>
            <w:r>
              <w:rPr>
                <w:rFonts w:ascii="Calibri" w:hAnsi="Calibri"/>
                <w:sz w:val="22"/>
              </w:rPr>
              <w:t>$5.179B</w:t>
            </w:r>
          </w:p>
        </w:tc>
        <w:tc>
          <w:tcPr>
            <w:tcW w:type="dxa" w:w="1080"/>
          </w:tcPr>
          <w:p>
            <w:r>
              <w:rPr>
                <w:rFonts w:ascii="Calibri" w:hAnsi="Calibri"/>
                <w:sz w:val="22"/>
              </w:rPr>
              <w:t>$5.441B</w:t>
            </w:r>
          </w:p>
        </w:tc>
        <w:tc>
          <w:tcPr>
            <w:tcW w:type="dxa" w:w="1080"/>
          </w:tcPr>
          <w:p>
            <w:r>
              <w:rPr>
                <w:rFonts w:ascii="Calibri" w:hAnsi="Calibri"/>
                <w:b/>
                <w:color w:val="30A46C"/>
                <w:sz w:val="22"/>
              </w:rPr>
              <w:t>+5.1%</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revision trajectory tells a clear story: every key metric has been revised up since the Q1 print, with the largest moves in long-term net flows (+66%) and EPS (+10%), driven by the monthly AUM releases confirming strong QQQ and ETF demand. The FY 2026 EPS consensus of $2.85 implies a meaningful step-up in H2, consistent with management’s operating leverage narrative and the roll-off of Q1’s seasonal compensation items.</w:t>
      </w:r>
    </w:p>
    <w:p>
      <w:r>
        <w:rPr>
          <w:rFonts w:ascii="Calibri" w:hAnsi="Calibri"/>
          <w:i/>
          <w:color w:val="525866"/>
          <w:sz w:val="22"/>
        </w:rPr>
        <w:t xml:space="preserve">Source: </w:t>
      </w:r>
      <w:r>
        <w:rPr>
          <w:rFonts w:ascii="Calibri" w:hAnsi="Calibri"/>
          <w:i/>
          <w:color w:val="525866"/>
          <w:sz w:val="22"/>
        </w:rPr>
        <w:t>Visible Alpha Consensus and Actuals Data (as-of dates May 5, 2026 and July 27, 2026); IVZ Q1 2026 Earnings Call Transcript (April 28, 2026); IVZ Morgan Stanley U.S. Financials Conference Transcript (June 10, 2026); IVZ June 2026 AUM Release 8-K (July 10,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IVZ has outperformed both XLF (+10%) and the S&amp;P 500 (+4%) since the Q1 print, with the </w:t>
      </w:r>
      <w:r>
        <w:rPr>
          <w:rFonts w:ascii="Calibri" w:hAnsi="Calibri"/>
          <w:b/>
          <w:color w:val="525866"/>
          <w:sz w:val="22"/>
        </w:rPr>
        <w:t>+16% gain driven primarily by multiple re-rating</w:t>
      </w:r>
      <w:r>
        <w:rPr>
          <w:rFonts w:ascii="Calibri" w:hAnsi="Calibri"/>
          <w:color w:val="525866"/>
          <w:sz w:val="22"/>
        </w:rPr>
        <w:t xml:space="preserve"> (P/E expanded from ~9.4x to ~9.6x NTM) as the AUM data confirmed strong organic growth momentum and the QQQ competitive threat proved less immediately damaging than feared.</w:t>
      </w:r>
    </w:p>
    <w:p>
      <w:r>
        <w:rPr>
          <w:rFonts w:ascii="Calibri" w:hAnsi="Calibri"/>
          <w:color w:val="525866"/>
          <w:sz w:val="22"/>
        </w:rPr>
        <w:t>IVZ vs. XLF (Financial Select Sector SPDR ETF) vs. S&amp;P 500 (SPY) — Indexed to 100 at April 28, 2026 (Q1 2026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IVZ (Indexed)</w:t>
            </w:r>
          </w:p>
        </w:tc>
        <w:tc>
          <w:tcPr>
            <w:tcW w:type="dxa" w:w="2160"/>
            <w:shd w:val="clear" w:color="auto" w:fill="3B4259"/>
          </w:tcPr>
          <w:p>
            <w:r>
              <w:rPr>
                <w:rFonts w:ascii="Calibri" w:hAnsi="Calibri"/>
                <w:b/>
                <w:color w:val="FFFFFF"/>
                <w:sz w:val="22"/>
              </w:rPr>
              <w:t>XLF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28,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12, 2026</w:t>
            </w:r>
          </w:p>
        </w:tc>
        <w:tc>
          <w:tcPr>
            <w:tcW w:type="dxa" w:w="2160"/>
          </w:tcPr>
          <w:p>
            <w:r>
              <w:rPr>
                <w:rFonts w:ascii="Calibri" w:hAnsi="Calibri"/>
                <w:sz w:val="22"/>
              </w:rPr>
              <w:t>109.7</w:t>
            </w:r>
          </w:p>
        </w:tc>
        <w:tc>
          <w:tcPr>
            <w:tcW w:type="dxa" w:w="2160"/>
          </w:tcPr>
          <w:p>
            <w:r>
              <w:rPr>
                <w:rFonts w:ascii="Calibri" w:hAnsi="Calibri"/>
                <w:sz w:val="22"/>
              </w:rPr>
              <w:t>99.5</w:t>
            </w:r>
          </w:p>
        </w:tc>
        <w:tc>
          <w:tcPr>
            <w:tcW w:type="dxa" w:w="2160"/>
          </w:tcPr>
          <w:p>
            <w:r>
              <w:rPr>
                <w:rFonts w:ascii="Calibri" w:hAnsi="Calibri"/>
                <w:sz w:val="22"/>
              </w:rPr>
              <w:t>103.7</w:t>
            </w:r>
          </w:p>
        </w:tc>
      </w:tr>
      <w:tr>
        <w:tc>
          <w:tcPr>
            <w:tcW w:type="dxa" w:w="2160"/>
          </w:tcPr>
          <w:p>
            <w:r>
              <w:rPr>
                <w:rFonts w:ascii="Calibri" w:hAnsi="Calibri"/>
                <w:sz w:val="22"/>
              </w:rPr>
              <w:t>Jun 10, 2026 (MS Conference)</w:t>
            </w:r>
          </w:p>
        </w:tc>
        <w:tc>
          <w:tcPr>
            <w:tcW w:type="dxa" w:w="2160"/>
          </w:tcPr>
          <w:p>
            <w:r>
              <w:rPr>
                <w:rFonts w:ascii="Calibri" w:hAnsi="Calibri"/>
                <w:sz w:val="22"/>
              </w:rPr>
              <w:t>106.2</w:t>
            </w:r>
          </w:p>
        </w:tc>
        <w:tc>
          <w:tcPr>
            <w:tcW w:type="dxa" w:w="2160"/>
          </w:tcPr>
          <w:p>
            <w:r>
              <w:rPr>
                <w:rFonts w:ascii="Calibri" w:hAnsi="Calibri"/>
                <w:sz w:val="22"/>
              </w:rPr>
              <w:t>100.7</w:t>
            </w:r>
          </w:p>
        </w:tc>
        <w:tc>
          <w:tcPr>
            <w:tcW w:type="dxa" w:w="2160"/>
          </w:tcPr>
          <w:p>
            <w:r>
              <w:rPr>
                <w:rFonts w:ascii="Calibri" w:hAnsi="Calibri"/>
                <w:sz w:val="22"/>
              </w:rPr>
              <w:t>101.9</w:t>
            </w:r>
          </w:p>
        </w:tc>
      </w:tr>
      <w:tr>
        <w:tc>
          <w:tcPr>
            <w:tcW w:type="dxa" w:w="2160"/>
          </w:tcPr>
          <w:p>
            <w:r>
              <w:rPr>
                <w:rFonts w:ascii="Calibri" w:hAnsi="Calibri"/>
                <w:sz w:val="22"/>
              </w:rPr>
              <w:t>Jun 30, 2026 (Q2 End)</w:t>
            </w:r>
          </w:p>
        </w:tc>
        <w:tc>
          <w:tcPr>
            <w:tcW w:type="dxa" w:w="2160"/>
          </w:tcPr>
          <w:p>
            <w:r>
              <w:rPr>
                <w:rFonts w:ascii="Calibri" w:hAnsi="Calibri"/>
                <w:sz w:val="22"/>
              </w:rPr>
              <w:t>102.0</w:t>
            </w:r>
          </w:p>
        </w:tc>
        <w:tc>
          <w:tcPr>
            <w:tcW w:type="dxa" w:w="2160"/>
          </w:tcPr>
          <w:p>
            <w:r>
              <w:rPr>
                <w:rFonts w:ascii="Calibri" w:hAnsi="Calibri"/>
                <w:sz w:val="22"/>
              </w:rPr>
              <w:t>103.4</w:t>
            </w:r>
          </w:p>
        </w:tc>
        <w:tc>
          <w:tcPr>
            <w:tcW w:type="dxa" w:w="2160"/>
          </w:tcPr>
          <w:p>
            <w:r>
              <w:rPr>
                <w:rFonts w:ascii="Calibri" w:hAnsi="Calibri"/>
                <w:sz w:val="22"/>
              </w:rPr>
              <w:t>104.9</w:t>
            </w:r>
          </w:p>
        </w:tc>
      </w:tr>
      <w:tr>
        <w:tc>
          <w:tcPr>
            <w:tcW w:type="dxa" w:w="2160"/>
          </w:tcPr>
          <w:p>
            <w:r>
              <w:rPr>
                <w:rFonts w:ascii="Calibri" w:hAnsi="Calibri"/>
                <w:sz w:val="22"/>
              </w:rPr>
              <w:t>Jul 10, 2026 (AUM Release)</w:t>
            </w:r>
          </w:p>
        </w:tc>
        <w:tc>
          <w:tcPr>
            <w:tcW w:type="dxa" w:w="2160"/>
          </w:tcPr>
          <w:p>
            <w:r>
              <w:rPr>
                <w:rFonts w:ascii="Calibri" w:hAnsi="Calibri"/>
                <w:sz w:val="22"/>
              </w:rPr>
              <w:t>112.1</w:t>
            </w:r>
          </w:p>
        </w:tc>
        <w:tc>
          <w:tcPr>
            <w:tcW w:type="dxa" w:w="2160"/>
          </w:tcPr>
          <w:p>
            <w:r>
              <w:rPr>
                <w:rFonts w:ascii="Calibri" w:hAnsi="Calibri"/>
                <w:sz w:val="22"/>
              </w:rPr>
              <w:t>107.4</w:t>
            </w:r>
          </w:p>
        </w:tc>
        <w:tc>
          <w:tcPr>
            <w:tcW w:type="dxa" w:w="2160"/>
          </w:tcPr>
          <w:p>
            <w:r>
              <w:rPr>
                <w:rFonts w:ascii="Calibri" w:hAnsi="Calibri"/>
                <w:sz w:val="22"/>
              </w:rPr>
              <w:t>106.1</w:t>
            </w:r>
          </w:p>
        </w:tc>
      </w:tr>
      <w:tr>
        <w:tc>
          <w:tcPr>
            <w:tcW w:type="dxa" w:w="2160"/>
          </w:tcPr>
          <w:p>
            <w:r>
              <w:rPr>
                <w:rFonts w:ascii="Calibri" w:hAnsi="Calibri"/>
                <w:sz w:val="22"/>
              </w:rPr>
              <w:t>Jul 15, 2026 (BLK/STT Earnings)</w:t>
            </w:r>
          </w:p>
        </w:tc>
        <w:tc>
          <w:tcPr>
            <w:tcW w:type="dxa" w:w="2160"/>
          </w:tcPr>
          <w:p>
            <w:r>
              <w:rPr>
                <w:rFonts w:ascii="Calibri" w:hAnsi="Calibri"/>
                <w:sz w:val="22"/>
              </w:rPr>
              <w:t>117.2</w:t>
            </w:r>
          </w:p>
        </w:tc>
        <w:tc>
          <w:tcPr>
            <w:tcW w:type="dxa" w:w="2160"/>
          </w:tcPr>
          <w:p>
            <w:r>
              <w:rPr>
                <w:rFonts w:ascii="Calibri" w:hAnsi="Calibri"/>
                <w:sz w:val="22"/>
              </w:rPr>
              <w:t>109.2</w:t>
            </w:r>
          </w:p>
        </w:tc>
        <w:tc>
          <w:tcPr>
            <w:tcW w:type="dxa" w:w="2160"/>
          </w:tcPr>
          <w:p>
            <w:r>
              <w:rPr>
                <w:rFonts w:ascii="Calibri" w:hAnsi="Calibri"/>
                <w:sz w:val="22"/>
              </w:rPr>
              <w:t>106.1</w:t>
            </w:r>
          </w:p>
        </w:tc>
      </w:tr>
      <w:tr>
        <w:tc>
          <w:tcPr>
            <w:tcW w:type="dxa" w:w="2160"/>
          </w:tcPr>
          <w:p>
            <w:r>
              <w:rPr>
                <w:rFonts w:ascii="Calibri" w:hAnsi="Calibri"/>
                <w:sz w:val="22"/>
              </w:rPr>
              <w:t>Jul 27, 2026 (Pre-Earnings)</w:t>
            </w:r>
          </w:p>
        </w:tc>
        <w:tc>
          <w:tcPr>
            <w:tcW w:type="dxa" w:w="2160"/>
          </w:tcPr>
          <w:p>
            <w:r>
              <w:rPr>
                <w:rFonts w:ascii="Calibri" w:hAnsi="Calibri"/>
                <w:sz w:val="22"/>
              </w:rPr>
              <w:t>116.4</w:t>
            </w:r>
          </w:p>
        </w:tc>
        <w:tc>
          <w:tcPr>
            <w:tcW w:type="dxa" w:w="2160"/>
          </w:tcPr>
          <w:p>
            <w:r>
              <w:rPr>
                <w:rFonts w:ascii="Calibri" w:hAnsi="Calibri"/>
                <w:sz w:val="22"/>
              </w:rPr>
              <w:t>109.7</w:t>
            </w:r>
          </w:p>
        </w:tc>
        <w:tc>
          <w:tcPr>
            <w:tcW w:type="dxa" w:w="2160"/>
          </w:tcPr>
          <w:p>
            <w:r>
              <w:rPr>
                <w:rFonts w:ascii="Calibri" w:hAnsi="Calibri"/>
                <w:sz w:val="22"/>
              </w:rPr>
              <w:t>103.8</w:t>
            </w:r>
          </w:p>
        </w:tc>
      </w:tr>
    </w:tbl>
    <w:p>
      <w:r>
        <w:rPr>
          <w:rFonts w:ascii="Calibri" w:hAnsi="Calibri"/>
          <w:color w:val="525866"/>
          <w:sz w:val="22"/>
        </w:rPr>
        <w:t>Key Events Since Q1 Earnings:</w:t>
      </w:r>
    </w:p>
    <w:p>
      <w:pPr>
        <w:pStyle w:val="ListBullet"/>
        <w:ind w:left="360" w:hanging="360"/>
      </w:pPr>
      <w:r>
        <w:rPr>
          <w:rFonts w:ascii="Calibri" w:hAnsi="Calibri"/>
          <w:b/>
          <w:color w:val="525866"/>
          <w:sz w:val="22"/>
        </w:rPr>
        <w:t>May 11, 2026:</w:t>
      </w:r>
      <w:r>
        <w:rPr>
          <w:rFonts w:ascii="Calibri" w:hAnsi="Calibri"/>
          <w:color w:val="525866"/>
          <w:sz w:val="22"/>
        </w:rPr>
        <w:t xml:space="preserve"> April AUM release — AUM grew to ~$2.34T, confirming QQQ rebound and strong April inflows of ~$17–18B.</w:t>
      </w:r>
    </w:p>
    <w:p>
      <w:pPr>
        <w:pStyle w:val="ListBullet"/>
        <w:ind w:left="360" w:hanging="360"/>
      </w:pPr>
      <w:r>
        <w:rPr>
          <w:rFonts w:ascii="Calibri" w:hAnsi="Calibri"/>
          <w:b/>
          <w:color w:val="525866"/>
          <w:sz w:val="22"/>
        </w:rPr>
        <w:t>May 27, 2026:</w:t>
      </w:r>
      <w:r>
        <w:rPr>
          <w:rFonts w:ascii="Calibri" w:hAnsi="Calibri"/>
          <w:color w:val="525866"/>
          <w:sz w:val="22"/>
        </w:rPr>
        <w:t xml:space="preserve"> Bernstein Strategic Decisions Conference — management reiterated organic growth momentum.</w:t>
      </w:r>
    </w:p>
    <w:p>
      <w:pPr>
        <w:pStyle w:val="ListBullet"/>
        <w:ind w:left="360" w:hanging="360"/>
      </w:pPr>
      <w:r>
        <w:rPr>
          <w:rFonts w:ascii="Calibri" w:hAnsi="Calibri"/>
          <w:b/>
          <w:color w:val="525866"/>
          <w:sz w:val="22"/>
        </w:rPr>
        <w:t>Jun 10, 2026:</w:t>
      </w:r>
      <w:r>
        <w:rPr>
          <w:rFonts w:ascii="Calibri" w:hAnsi="Calibri"/>
          <w:color w:val="525866"/>
          <w:sz w:val="22"/>
        </w:rPr>
        <w:t xml:space="preserve"> Morgan Stanley U.S. Financials Conference — management disclosed QQQ AUM up ~$120B in first two months of Q2, May inflows of $19B, and described “massive revenue growth” for Q2. Stock re-rated sharply.</w:t>
      </w:r>
    </w:p>
    <w:p>
      <w:pPr>
        <w:pStyle w:val="ListBullet"/>
        <w:ind w:left="360" w:hanging="360"/>
      </w:pPr>
      <w:r>
        <w:rPr>
          <w:rFonts w:ascii="Calibri" w:hAnsi="Calibri"/>
          <w:b/>
          <w:color w:val="525866"/>
          <w:sz w:val="22"/>
        </w:rPr>
        <w:t>Jul 10, 2026:</w:t>
      </w:r>
      <w:r>
        <w:rPr>
          <w:rFonts w:ascii="Calibri" w:hAnsi="Calibri"/>
          <w:color w:val="525866"/>
          <w:sz w:val="22"/>
        </w:rPr>
        <w:t xml:space="preserve"> June AUM release (8-K) — preliminary June 30 AUM of $2,470.3B, net long-term inflows of $8.0B in June, Q2 average total AUM of $2,368.8B. Confirmed strong quarter.</w:t>
      </w:r>
    </w:p>
    <w:p>
      <w:pPr>
        <w:pStyle w:val="ListBullet"/>
        <w:ind w:left="360" w:hanging="360"/>
      </w:pPr>
      <w:r>
        <w:rPr>
          <w:rFonts w:ascii="Calibri" w:hAnsi="Calibri"/>
          <w:b/>
          <w:color w:val="525866"/>
          <w:sz w:val="22"/>
        </w:rPr>
        <w:t>Jul 15, 2026:</w:t>
      </w:r>
      <w:r>
        <w:rPr>
          <w:rFonts w:ascii="Calibri" w:hAnsi="Calibri"/>
          <w:color w:val="525866"/>
          <w:sz w:val="22"/>
        </w:rPr>
        <w:t xml:space="preserve"> BlackRock and State Street Q2 2026 earnings — both reported record AUM and strong ETF flows; positive read-through for IVZ. Stock jumped ~5% on the day.</w:t>
      </w:r>
    </w:p>
    <w:p>
      <w:r>
        <w:rPr>
          <w:rFonts w:ascii="Calibri" w:hAnsi="Calibri"/>
          <w:b/>
          <w:color w:val="525866"/>
          <w:sz w:val="22"/>
        </w:rPr>
        <w:t xml:space="preserve">Performance Summary (Apr 28 – Jul 27, 2026): </w:t>
      </w:r>
      <w:r>
        <w:rPr>
          <w:rFonts w:ascii="Calibri" w:hAnsi="Calibri"/>
          <w:color w:val="525866"/>
          <w:sz w:val="22"/>
        </w:rPr>
        <w:t>IVZ +16.4% | XLF +9.7% | SPY +3.8%. IVZ’s outperformance was driven by the AUM data confirming the QQQ’s AI-driven demand surge and the positive peer read-throughs from BLK and STT. The stock’s NTM P/E of ~9.6x remains at a discount to the broader asset manager peer group, suggesting further re-rating potential if management delivers on the margin expansion narrative.</w:t>
      </w:r>
    </w:p>
    <w:p>
      <w:r>
        <w:rPr>
          <w:rFonts w:ascii="Calibri" w:hAnsi="Calibri"/>
          <w:i/>
          <w:color w:val="525866"/>
          <w:sz w:val="22"/>
        </w:rPr>
        <w:t xml:space="preserve">Source: </w:t>
      </w:r>
      <w:r>
        <w:rPr>
          <w:rFonts w:ascii="Calibri" w:hAnsi="Calibri"/>
          <w:i/>
          <w:color w:val="525866"/>
          <w:sz w:val="22"/>
        </w:rPr>
        <w:t>Stock Price Data (Yahoo Finance); IVZ 8-K AUM Releases; IVZ Morgan Stanley Conference Transcript.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QQQ’s extraordinary $120B+ AUM surge in the first two months of Q2</w:t>
      </w:r>
      <w:r>
        <w:rPr>
          <w:rFonts w:ascii="Calibri" w:hAnsi="Calibri"/>
          <w:color w:val="525866"/>
          <w:sz w:val="22"/>
        </w:rPr>
        <w:t>, driven by AI-trade demand — this single data point has driven the bulk of estimate revisions and stock outperformance, and will dominate the Q2 earnings narrative.</w:t>
      </w:r>
    </w:p>
    <w:p>
      <w:pPr>
        <w:pStyle w:val="ListBullet"/>
        <w:ind w:left="360" w:hanging="360"/>
      </w:pPr>
      <w:r>
        <w:rPr>
          <w:rFonts w:ascii="Calibri" w:hAnsi="Calibri"/>
          <w:b/>
          <w:color w:val="525866"/>
          <w:sz w:val="22"/>
        </w:rPr>
        <w:t>Jul 10, 2026 — June AUM Release (8-K):</w:t>
      </w:r>
      <w:r>
        <w:rPr>
          <w:rFonts w:ascii="Calibri" w:hAnsi="Calibri"/>
          <w:color w:val="525866"/>
          <w:sz w:val="22"/>
        </w:rPr>
        <w:t xml:space="preserve"> Invesco disclosed preliminary June 30 AUM of $2,470.3B (+0.7% vs. May), with net long-term inflows of $8.0B in June and money market net inflows of $14.3B. Q2 average total AUM was $2,368.8B. QQQ AUM reached $490.1B at June 30 vs. $372.5B at March 31 — a $117.6B increase in one quarter. </w:t>
      </w:r>
    </w:p>
    <w:p>
      <w:pPr>
        <w:pStyle w:val="ListBullet"/>
        <w:ind w:left="360" w:hanging="360"/>
      </w:pPr>
      <w:r>
        <w:rPr>
          <w:rFonts w:ascii="Calibri" w:hAnsi="Calibri"/>
          <w:b/>
          <w:color w:val="525866"/>
          <w:sz w:val="22"/>
        </w:rPr>
        <w:t>Jun 10, 2026 — Morgan Stanley U.S. Financials Conference:</w:t>
      </w:r>
      <w:r>
        <w:rPr>
          <w:rFonts w:ascii="Calibri" w:hAnsi="Calibri"/>
          <w:color w:val="525866"/>
          <w:sz w:val="22"/>
        </w:rPr>
        <w:t xml:space="preserve"> CEO Andrew Schlossberg disclosed that QQQ AUM was ~$500B (up ~$120B from Q1 end in just two months), April inflows were ~$17–18B, and May inflows were ~$19B. Management described “massive revenue growth” for Q2 and reiterated the path to high-30s operating margin. </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Management reiterated organic growth momentum across ETFs, fixed income, China JV, and private markets. No material new guidance provided.</w:t>
      </w:r>
    </w:p>
    <w:p>
      <w:pPr>
        <w:pStyle w:val="ListBullet"/>
        <w:ind w:left="360" w:hanging="360"/>
      </w:pPr>
      <w:r>
        <w:rPr>
          <w:rFonts w:ascii="Calibri" w:hAnsi="Calibri"/>
          <w:b/>
          <w:color w:val="525866"/>
          <w:sz w:val="22"/>
        </w:rPr>
        <w:t>May 11, 2026 — April AUM Release (8-K):</w:t>
      </w:r>
      <w:r>
        <w:rPr>
          <w:rFonts w:ascii="Calibri" w:hAnsi="Calibri"/>
          <w:color w:val="525866"/>
          <w:sz w:val="22"/>
        </w:rPr>
        <w:t xml:space="preserve"> April AUM of $2,339.4B, confirming QQQ rebound (QQQ AUM $440.3B vs. $372.5B at Q1 end) and strong April inflows of ~$17–18B. QQQ flows turned positive after Q1 outflows, driven by AI-trade demand.</w:t>
      </w:r>
    </w:p>
    <w:p>
      <w:pPr>
        <w:pStyle w:val="ListBullet"/>
        <w:ind w:left="360" w:hanging="360"/>
      </w:pPr>
      <w:r>
        <w:rPr>
          <w:rFonts w:ascii="Calibri" w:hAnsi="Calibri"/>
          <w:b/>
          <w:color w:val="525866"/>
          <w:sz w:val="22"/>
        </w:rPr>
        <w:t>Apr 28, 2026 — Q1 2026 Earnings:</w:t>
      </w:r>
      <w:r>
        <w:rPr>
          <w:rFonts w:ascii="Calibri" w:hAnsi="Calibri"/>
          <w:color w:val="525866"/>
          <w:sz w:val="22"/>
        </w:rPr>
        <w:t xml:space="preserve"> Reported adj. EPS of $0.57 (slight miss vs. $0.575 consensus), net long-term inflows of $21.8B (11th consecutive quarter of net inflows), and operating margin of 34.5% (+300 bps YoY). Key concern: Nasdaq ended near-exclusive QQQ licensing, enabling BlackRock and State Street to file competing Nasdaq 100 ETFs. Management defended the installed base, liquidity moat, and tax-driven switching costs.</w:t>
      </w:r>
    </w:p>
    <w:p>
      <w:pPr>
        <w:pStyle w:val="ListBullet"/>
        <w:ind w:left="360" w:hanging="360"/>
      </w:pPr>
      <w:r>
        <w:rPr>
          <w:rFonts w:ascii="Calibri" w:hAnsi="Calibri"/>
          <w:b/>
          <w:color w:val="525866"/>
          <w:sz w:val="22"/>
        </w:rPr>
        <w:t>Mar 2026 — Superstate Tokenization Partnership:</w:t>
      </w:r>
      <w:r>
        <w:rPr>
          <w:rFonts w:ascii="Calibri" w:hAnsi="Calibri"/>
          <w:color w:val="525866"/>
          <w:sz w:val="22"/>
        </w:rPr>
        <w:t xml:space="preserve"> Invesco became investment manager of USTB, a ~$1B tokenized short-duration U.S. Treasuries fund, making it the first asset manager to use Superstate’s digital transfer agent infrastructure. Management frames this as an operational innovation rather than a new product category.</w:t>
      </w:r>
    </w:p>
    <w:p>
      <w:pPr>
        <w:pStyle w:val="ListBullet"/>
        <w:ind w:left="360" w:hanging="360"/>
      </w:pPr>
      <w:r>
        <w:rPr>
          <w:rFonts w:ascii="Calibri" w:hAnsi="Calibri"/>
          <w:b/>
          <w:color w:val="525866"/>
          <w:sz w:val="22"/>
        </w:rPr>
        <w:t>Ongoing — QQQ Competitive Threat:</w:t>
      </w:r>
      <w:r>
        <w:rPr>
          <w:rFonts w:ascii="Calibri" w:hAnsi="Calibri"/>
          <w:color w:val="525866"/>
          <w:sz w:val="22"/>
        </w:rPr>
        <w:t xml:space="preserve"> BlackRock and State Street have filed competing Nasdaq 100 ETFs following Nasdaq’s April 2026 decision to end Invesco’s near-exclusive licensing. Management argues switching costs (embedded derivatives, deep tax gains, 20-year liquidity moat) are “incredibly high.” QQQM is approaching $100B. The competitive response timeline and early market share data will be a key focus on the Q2 call.</w:t>
      </w:r>
    </w:p>
    <w:p>
      <w:pPr>
        <w:pStyle w:val="ListBullet"/>
        <w:ind w:left="360" w:hanging="360"/>
      </w:pPr>
      <w:r>
        <w:rPr>
          <w:rFonts w:ascii="Calibri" w:hAnsi="Calibri"/>
          <w:b/>
          <w:color w:val="525866"/>
          <w:sz w:val="22"/>
        </w:rPr>
        <w:t>Ongoing — Private Markets Partnerships (Barings, LGT Capital):</w:t>
      </w:r>
      <w:r>
        <w:rPr>
          <w:rFonts w:ascii="Calibri" w:hAnsi="Calibri"/>
          <w:color w:val="525866"/>
          <w:sz w:val="22"/>
        </w:rPr>
        <w:t xml:space="preserve"> LGT first close targeted for H2 2026; second Barings product expected later in 2026. Private markets AUM ~$165B. Management notes wealth/DC channel expansion will take years, not quarters.</w:t>
      </w:r>
    </w:p>
    <w:p>
      <w:pPr>
        <w:pStyle w:val="ListBullet"/>
        <w:ind w:left="360" w:hanging="360"/>
      </w:pPr>
      <w:r>
        <w:rPr>
          <w:rFonts w:ascii="Calibri" w:hAnsi="Calibri"/>
          <w:b/>
          <w:color w:val="525866"/>
          <w:sz w:val="22"/>
        </w:rPr>
        <w:t>Ongoing — Hybrid Investment Platform:</w:t>
      </w:r>
      <w:r>
        <w:rPr>
          <w:rFonts w:ascii="Calibri" w:hAnsi="Calibri"/>
          <w:color w:val="525866"/>
          <w:sz w:val="22"/>
        </w:rPr>
        <w:t xml:space="preserve"> Implementation on track for year-end 2026; ≥$60M cost savings expected in 2027. Q2 implementation costs expected in the $10M–$15M range.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SEC Form 4 filings for IVZ in the period from April 28 to July 27, 2026. The absence of insider buying ahead of a potentially strong quarter is neutral — not a negative signal given the stock’s +16% run since earnings, which may have reduced the attractiveness of open-market purchases.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sales identified in the Apr 28 – Jul 27, 2026 window per SEC Form 4 data.</w:t>
            </w:r>
          </w:p>
        </w:tc>
      </w:tr>
    </w:tbl>
    <w:p>
      <w:r>
        <w:rPr>
          <w:rFonts w:ascii="Calibri" w:hAnsi="Calibri"/>
          <w:i/>
          <w:color w:val="525866"/>
          <w:sz w:val="22"/>
        </w:rPr>
        <w:t xml:space="preserve">Source: </w:t>
      </w:r>
      <w:r>
        <w:rPr>
          <w:rFonts w:ascii="Calibri" w:hAnsi="Calibri"/>
          <w:i/>
          <w:color w:val="525866"/>
          <w:sz w:val="22"/>
        </w:rPr>
        <w:t>SEC Form 4 Filings Database (April 28 – July 27, 2026).</w:t>
      </w:r>
    </w:p>
    <w:p>
      <w:r>
        <w:br w:type="page"/>
      </w:r>
    </w:p>
    <w:p>
      <w:pPr>
        <w:pStyle w:val="Heading2"/>
      </w:pPr>
      <w:r>
        <w:rPr>
          <w:rFonts w:ascii="Calibri" w:hAnsi="Calibri"/>
          <w:b/>
          <w:color w:val="3B4259"/>
          <w:sz w:val="28"/>
        </w:rPr>
        <w:t>8. Peer Commentary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paint a </w:t>
      </w:r>
      <w:r>
        <w:rPr>
          <w:rFonts w:ascii="Calibri" w:hAnsi="Calibri"/>
          <w:b/>
          <w:color w:val="525866"/>
          <w:sz w:val="22"/>
        </w:rPr>
        <w:t>uniformly constructive picture for IVZ</w:t>
      </w:r>
      <w:r>
        <w:rPr>
          <w:rFonts w:ascii="Calibri" w:hAnsi="Calibri"/>
          <w:color w:val="525866"/>
          <w:sz w:val="22"/>
        </w:rPr>
        <w:t>: record AUM driven by market appreciation and strong ETF/passive inflows (BLK, STT), robust operating leverage (BK, AMP, SEIC), and durable demand for active fixed income, private markets, and alternatives. The read-through is positive for IVZ’s flows, revenue, and margin trajectory.</w:t>
      </w:r>
    </w:p>
    <w:p>
      <w:r>
        <w:rPr>
          <w:rFonts w:ascii="Calibri" w:hAnsi="Calibri"/>
          <w:i/>
          <w:color w:val="525866"/>
          <w:sz w:val="22"/>
        </w:rPr>
        <w:t xml:space="preserve">Note: </w:t>
      </w:r>
      <w:r>
        <w:rPr>
          <w:rFonts w:ascii="Calibri" w:hAnsi="Calibri"/>
          <w:i/>
          <w:color w:val="525866"/>
          <w:sz w:val="22"/>
        </w:rPr>
        <w:t>All commentary below is from Q2 2026 earnings calls or releases (July 2026), directly addressing the current reporting quarter. No prior-quarter stale commentary is included.</w:t>
      </w:r>
    </w:p>
    <w:p>
      <w:pPr>
        <w:pStyle w:val="Heading3"/>
      </w:pPr>
      <w:r>
        <w:rPr>
          <w:rFonts w:ascii="Calibri" w:hAnsi="Calibri"/>
          <w:b/>
          <w:color w:val="3B4259"/>
          <w:sz w:val="24"/>
        </w:rPr>
        <w:t>BlackRock (BLK) — Q2 2026 Earnings (July 15, 2026)</w:t>
      </w:r>
    </w:p>
    <w:p>
      <w:r>
        <w:rPr>
          <w:rFonts w:ascii="Calibri" w:hAnsi="Calibri"/>
          <w:b/>
          <w:color w:val="525866"/>
          <w:sz w:val="22"/>
        </w:rPr>
        <w:t xml:space="preserve">Relevance: </w:t>
      </w:r>
      <w:r>
        <w:rPr>
          <w:rFonts w:ascii="Calibri" w:hAnsi="Calibri"/>
          <w:color w:val="525866"/>
          <w:sz w:val="22"/>
        </w:rPr>
        <w:t>BLK is IVZ’s most direct ETF and active management competitor, and the most important read-through for QQQ competitive dynamics, ETF flows, and active fixed income demand.</w:t>
      </w:r>
    </w:p>
    <w:p>
      <w:pPr>
        <w:pStyle w:val="ListBullet"/>
        <w:ind w:left="360" w:hanging="360"/>
      </w:pPr>
      <w:r>
        <w:rPr>
          <w:rFonts w:ascii="Calibri" w:hAnsi="Calibri"/>
          <w:b/>
          <w:color w:val="525866"/>
          <w:sz w:val="22"/>
        </w:rPr>
        <w:t>Record ETF inflows confirm AI-driven QQQ demand:</w:t>
      </w:r>
      <w:r>
        <w:rPr>
          <w:rFonts w:ascii="Calibri" w:hAnsi="Calibri"/>
          <w:color w:val="525866"/>
          <w:sz w:val="22"/>
        </w:rPr>
        <w:t xml:space="preserve"> iShares recorded $178B of net inflows in Q2, with core equity ETFs leading at $85B. BLK cited “US equity markets continue to climb to new highs” and “great market fundamentals with higher corporate margins and earnings momentum catalyzed by new technology.” This directly validates IVZ’s QQQ AUM surge of ~$120B in Q2 and the AI-trade narrative management cited at the June conference. </w:t>
      </w:r>
    </w:p>
    <w:p>
      <w:pPr>
        <w:pStyle w:val="ListBullet"/>
        <w:ind w:left="360" w:hanging="360"/>
      </w:pPr>
      <w:r>
        <w:rPr>
          <w:rFonts w:ascii="Calibri" w:hAnsi="Calibri"/>
          <w:b/>
          <w:color w:val="525866"/>
          <w:sz w:val="22"/>
        </w:rPr>
        <w:t>Active ETFs gaining momentum — positive for IVZ’s active ETF platform:</w:t>
      </w:r>
      <w:r>
        <w:rPr>
          <w:rFonts w:ascii="Calibri" w:hAnsi="Calibri"/>
          <w:color w:val="525866"/>
          <w:sz w:val="22"/>
        </w:rPr>
        <w:t xml:space="preserve"> BLK’s active ETFs gathered $20B in Q2 net inflows, and BLK moved from 7th to 3rd largest active ETF manager in three years. IVZ, with ~40 active ETFs and ~$40B AUM, is well-positioned to benefit from the same structural tailwind. BLK noted “the economics are not meaningfully different based on whether client demand is expressed through a mutual fund or an active ETF — if anything, it’s better on active ETFs for both the distributors and the issuers.” </w:t>
      </w:r>
    </w:p>
    <w:p>
      <w:pPr>
        <w:pStyle w:val="ListBullet"/>
        <w:ind w:left="360" w:hanging="360"/>
      </w:pPr>
      <w:r>
        <w:rPr>
          <w:rFonts w:ascii="Calibri" w:hAnsi="Calibri"/>
          <w:b/>
          <w:color w:val="525866"/>
          <w:sz w:val="22"/>
        </w:rPr>
        <w:t>No ETF distribution ‘tolls’ from major U.S. distributors — removes a key IVZ risk:</w:t>
      </w:r>
      <w:r>
        <w:rPr>
          <w:rFonts w:ascii="Calibri" w:hAnsi="Calibri"/>
          <w:color w:val="525866"/>
          <w:sz w:val="22"/>
        </w:rPr>
        <w:t xml:space="preserve"> BLK explicitly stated: “Our index ETF distribution philosophy and practice does not include tolls. We’ve not been approached by any major U.S. distributors, and we’re not in any active negotiations about tolls on index ETFs.” This is a direct positive read-through for IVZ, which had flagged ETF platform fee discussions as “not material” at the Q1 call. </w:t>
      </w:r>
    </w:p>
    <w:p>
      <w:pPr>
        <w:pStyle w:val="ListBullet"/>
        <w:ind w:left="360" w:hanging="360"/>
      </w:pPr>
      <w:r>
        <w:rPr>
          <w:rFonts w:ascii="Calibri" w:hAnsi="Calibri"/>
          <w:b/>
          <w:color w:val="525866"/>
          <w:sz w:val="22"/>
        </w:rPr>
        <w:t>Strong active fixed income and private markets demand:</w:t>
      </w:r>
      <w:r>
        <w:rPr>
          <w:rFonts w:ascii="Calibri" w:hAnsi="Calibri"/>
          <w:color w:val="525866"/>
          <w:sz w:val="22"/>
        </w:rPr>
        <w:t xml:space="preserve"> BLK reported $18B of active fixed income net inflows and $15B of private markets inflows in Q2. IVZ’s fundamental fixed income AUM of $315.5B at June 30 and private markets AUM of ~$165B should benefit from the same demand environment. </w:t>
      </w:r>
    </w:p>
    <w:p>
      <w:pPr>
        <w:pStyle w:val="ListBullet"/>
        <w:ind w:left="360" w:hanging="360"/>
      </w:pPr>
      <w:r>
        <w:rPr>
          <w:rFonts w:ascii="Calibri" w:hAnsi="Calibri"/>
          <w:b/>
          <w:color w:val="525866"/>
          <w:sz w:val="22"/>
        </w:rPr>
        <w:t>Operating margin expanded 260 bps YoY to 45.9% — positive operating leverage read-through:</w:t>
      </w:r>
      <w:r>
        <w:rPr>
          <w:rFonts w:ascii="Calibri" w:hAnsi="Calibri"/>
          <w:color w:val="525866"/>
          <w:sz w:val="22"/>
        </w:rPr>
        <w:t xml:space="preserve"> BLK achieved its highest margin in nearly five years, driven by revenue growth outpacing expense growth. This supports IVZ’s narrative of positive operating leverage and the path to high-30s margin. </w:t>
      </w:r>
    </w:p>
    <w:p>
      <w:pPr>
        <w:pStyle w:val="ListBullet"/>
        <w:ind w:left="360" w:hanging="360"/>
      </w:pPr>
      <w:r>
        <w:rPr>
          <w:rFonts w:ascii="Calibri" w:hAnsi="Calibri"/>
          <w:b/>
          <w:color w:val="525866"/>
          <w:sz w:val="22"/>
        </w:rPr>
        <w:t>Institutional index outflows of $41B — a nuance to watch:</w:t>
      </w:r>
      <w:r>
        <w:rPr>
          <w:rFonts w:ascii="Calibri" w:hAnsi="Calibri"/>
          <w:color w:val="525866"/>
          <w:sz w:val="22"/>
        </w:rPr>
        <w:t xml:space="preserve"> BLK saw $41B of institutional index net outflows, concentrated in low-fee index equities. IVZ’s institutional passive book could face similar dynamics, though IVZ’s institutional passive exposure is smaller relative to its overall AUM mix.</w:t>
      </w:r>
    </w:p>
    <w:p>
      <w:pPr>
        <w:pStyle w:val="Heading3"/>
      </w:pPr>
      <w:r>
        <w:rPr>
          <w:rFonts w:ascii="Calibri" w:hAnsi="Calibri"/>
          <w:b/>
          <w:color w:val="3B4259"/>
          <w:sz w:val="24"/>
        </w:rPr>
        <w:t>State Street (STT) — Q2 2026 Earnings (July 16, 2026)</w:t>
      </w:r>
    </w:p>
    <w:p>
      <w:r>
        <w:rPr>
          <w:rFonts w:ascii="Calibri" w:hAnsi="Calibri"/>
          <w:b/>
          <w:color w:val="525866"/>
          <w:sz w:val="22"/>
        </w:rPr>
        <w:t xml:space="preserve">Relevance: </w:t>
      </w:r>
      <w:r>
        <w:rPr>
          <w:rFonts w:ascii="Calibri" w:hAnsi="Calibri"/>
          <w:color w:val="525866"/>
          <w:sz w:val="22"/>
        </w:rPr>
        <w:t>STT is a direct ETF competitor (SPDR franchise) and a key read-through for institutional flows, AUM market levels, and operating leverage.</w:t>
      </w:r>
    </w:p>
    <w:p>
      <w:pPr>
        <w:pStyle w:val="ListBullet"/>
        <w:ind w:left="360" w:hanging="360"/>
      </w:pPr>
      <w:r>
        <w:rPr>
          <w:rFonts w:ascii="Calibri" w:hAnsi="Calibri"/>
          <w:b/>
          <w:color w:val="525866"/>
          <w:sz w:val="22"/>
        </w:rPr>
        <w:t>Record AUM of $6.3T (+23% YoY) driven by market appreciation and positive net flows:</w:t>
      </w:r>
      <w:r>
        <w:rPr>
          <w:rFonts w:ascii="Calibri" w:hAnsi="Calibri"/>
          <w:color w:val="525866"/>
          <w:sz w:val="22"/>
        </w:rPr>
        <w:t xml:space="preserve"> STT reported $114B of net inflows in Q2, its fifth consecutive quarter of positive organic growth, “primarily driven by strong index, ETF and cash net inflows of $66B and $35B, respectively.” Inflows were “broad based across geographies led by the Americas and complemented by solid contributions from Asia Pacific and EMEA.” This confirms the favorable market and flow environment for IVZ’s Q2. </w:t>
      </w:r>
    </w:p>
    <w:p>
      <w:pPr>
        <w:pStyle w:val="ListBullet"/>
        <w:ind w:left="360" w:hanging="360"/>
      </w:pPr>
      <w:r>
        <w:rPr>
          <w:rFonts w:ascii="Calibri" w:hAnsi="Calibri"/>
          <w:b/>
          <w:color w:val="525866"/>
          <w:sz w:val="22"/>
        </w:rPr>
        <w:t>Management fees up 29% YoY with ~9% organic growth:</w:t>
      </w:r>
      <w:r>
        <w:rPr>
          <w:rFonts w:ascii="Calibri" w:hAnsi="Calibri"/>
          <w:color w:val="525866"/>
          <w:sz w:val="22"/>
        </w:rPr>
        <w:t xml:space="preserve"> STT’s management fees grew 29% YoY, reflecting “approximately 9% organic growth and strong support from higher average market levels.” This is a strong positive read-through for IVZ’s investment management fee line, which should benefit from both higher average AUM and organic flow momentum. </w:t>
      </w:r>
    </w:p>
    <w:p>
      <w:pPr>
        <w:pStyle w:val="ListBullet"/>
        <w:ind w:left="360" w:hanging="360"/>
      </w:pPr>
      <w:r>
        <w:rPr>
          <w:rFonts w:ascii="Calibri" w:hAnsi="Calibri"/>
          <w:b/>
          <w:color w:val="525866"/>
          <w:sz w:val="22"/>
        </w:rPr>
        <w:t>Pricing environment less pressured than 5 years ago:</w:t>
      </w:r>
      <w:r>
        <w:rPr>
          <w:rFonts w:ascii="Calibri" w:hAnsi="Calibri"/>
          <w:color w:val="525866"/>
          <w:sz w:val="22"/>
        </w:rPr>
        <w:t xml:space="preserve"> STT CEO Ron O’Hanley noted the current environment is “very different” from five years ago when there was “a lot more price compression,” citing the “rapid adoption and proliferation of ETFs” and client demand for alternatives and technology. This supports IVZ’s view that net revenue yield pressure is mix-driven rather than fee-rate-driven. </w:t>
      </w:r>
    </w:p>
    <w:p>
      <w:pPr>
        <w:pStyle w:val="ListBullet"/>
        <w:ind w:left="360" w:hanging="360"/>
      </w:pPr>
      <w:r>
        <w:rPr>
          <w:rFonts w:ascii="Calibri" w:hAnsi="Calibri"/>
          <w:b/>
          <w:color w:val="525866"/>
          <w:sz w:val="22"/>
        </w:rPr>
        <w:t>Pre-tax margin expanded 470 bps YoY to 34% — 10th consecutive quarter of positive operating leverage:</w:t>
      </w:r>
      <w:r>
        <w:rPr>
          <w:rFonts w:ascii="Calibri" w:hAnsi="Calibri"/>
          <w:color w:val="525866"/>
          <w:sz w:val="22"/>
        </w:rPr>
        <w:t xml:space="preserve"> STT achieved ~500 bps of positive operating leverage for full-year 2026 guidance. This is a strong read-through for IVZ’s margin expansion narrative, with IVZ targeting high-30s from Q1’s 34.5%. </w:t>
      </w:r>
    </w:p>
    <w:p>
      <w:pPr>
        <w:pStyle w:val="ListBullet"/>
        <w:ind w:left="360" w:hanging="360"/>
      </w:pPr>
      <w:r>
        <w:rPr>
          <w:rFonts w:ascii="Calibri" w:hAnsi="Calibri"/>
          <w:b/>
          <w:color w:val="525866"/>
          <w:sz w:val="22"/>
        </w:rPr>
        <w:t>Alternatives and wealth as key strategic focuses:</w:t>
      </w:r>
      <w:r>
        <w:rPr>
          <w:rFonts w:ascii="Calibri" w:hAnsi="Calibri"/>
          <w:color w:val="525866"/>
          <w:sz w:val="22"/>
        </w:rPr>
        <w:t xml:space="preserve"> STT highlighted “substantial opportunities in alternatives and tokenization” and wealth as a “key strategic focus.” This validates IVZ’s private markets and wealth channel expansion strategy. </w:t>
      </w:r>
    </w:p>
    <w:p>
      <w:pPr>
        <w:pStyle w:val="ListBullet"/>
        <w:ind w:left="360" w:hanging="360"/>
      </w:pPr>
      <w:r>
        <w:rPr>
          <w:rFonts w:ascii="Calibri" w:hAnsi="Calibri"/>
          <w:b/>
          <w:color w:val="525866"/>
          <w:sz w:val="22"/>
        </w:rPr>
        <w:t>Full-year 2026 outlook raised:</w:t>
      </w:r>
      <w:r>
        <w:rPr>
          <w:rFonts w:ascii="Calibri" w:hAnsi="Calibri"/>
          <w:color w:val="525866"/>
          <w:sz w:val="22"/>
        </w:rPr>
        <w:t xml:space="preserve"> STT raised fee revenue growth guidance to 12–13% (from 7–9%) and NII growth to 14–15% (from 8–10%), reflecting “continued organic growth across servicing and management fees, as well as healthy client activity in markets.” The constructive H2 outlook is a positive read-through for IVZ’s full-year guidance.</w:t>
      </w:r>
    </w:p>
    <w:p>
      <w:pPr>
        <w:pStyle w:val="Heading3"/>
      </w:pPr>
      <w:r>
        <w:rPr>
          <w:rFonts w:ascii="Calibri" w:hAnsi="Calibri"/>
          <w:b/>
          <w:color w:val="3B4259"/>
          <w:sz w:val="24"/>
        </w:rPr>
        <w:t>BNY Mellon (BK) — Q2 2026 Earnings (July 15, 2026)</w:t>
      </w:r>
    </w:p>
    <w:p>
      <w:r>
        <w:rPr>
          <w:rFonts w:ascii="Calibri" w:hAnsi="Calibri"/>
          <w:b/>
          <w:color w:val="525866"/>
          <w:sz w:val="22"/>
        </w:rPr>
        <w:t xml:space="preserve">Relevance: </w:t>
      </w:r>
      <w:r>
        <w:rPr>
          <w:rFonts w:ascii="Calibri" w:hAnsi="Calibri"/>
          <w:color w:val="525866"/>
          <w:sz w:val="22"/>
        </w:rPr>
        <w:t>BK is a read-through for institutional asset management flows, AUM market levels, and the operating environment for financial services firms.</w:t>
      </w:r>
    </w:p>
    <w:p>
      <w:pPr>
        <w:pStyle w:val="ListBullet"/>
        <w:ind w:left="360" w:hanging="360"/>
      </w:pPr>
      <w:r>
        <w:rPr>
          <w:rFonts w:ascii="Calibri" w:hAnsi="Calibri"/>
          <w:b/>
          <w:color w:val="525866"/>
          <w:sz w:val="22"/>
        </w:rPr>
        <w:t>Firmwide AUC/A of $62.6T (+12% YoY) and AUM of $2.2T (+6% YoY):</w:t>
      </w:r>
      <w:r>
        <w:rPr>
          <w:rFonts w:ascii="Calibri" w:hAnsi="Calibri"/>
          <w:color w:val="525866"/>
          <w:sz w:val="22"/>
        </w:rPr>
        <w:t xml:space="preserve"> BK’s AUM growth was “primarily driven by higher market values,” partially offset by a stronger US dollar and cumulative net outflows. The market appreciation tailwind is directly applicable to IVZ’s AUM growth in Q2. </w:t>
      </w:r>
    </w:p>
    <w:p>
      <w:pPr>
        <w:pStyle w:val="ListBullet"/>
        <w:ind w:left="360" w:hanging="360"/>
      </w:pPr>
      <w:r>
        <w:rPr>
          <w:rFonts w:ascii="Calibri" w:hAnsi="Calibri"/>
          <w:b/>
          <w:color w:val="525866"/>
          <w:sz w:val="22"/>
        </w:rPr>
        <w:t>Investment management fees up 6% YoY:</w:t>
      </w:r>
      <w:r>
        <w:rPr>
          <w:rFonts w:ascii="Calibri" w:hAnsi="Calibri"/>
          <w:color w:val="525866"/>
          <w:sz w:val="22"/>
        </w:rPr>
        <w:t xml:space="preserve"> BK’s investment management fees grew 6%, “primarily driven by higher market values, partially offset by the mix of AUM flows.” The mix headwind from lower-fee products is consistent with IVZ’s net revenue yield pressure narrative. </w:t>
      </w:r>
    </w:p>
    <w:p>
      <w:pPr>
        <w:pStyle w:val="ListBullet"/>
        <w:ind w:left="360" w:hanging="360"/>
      </w:pPr>
      <w:r>
        <w:rPr>
          <w:rFonts w:ascii="Calibri" w:hAnsi="Calibri"/>
          <w:b/>
          <w:color w:val="525866"/>
          <w:sz w:val="22"/>
        </w:rPr>
        <w:t>Strong money market fund flows and ETF AUC growth of 35% YoY:</w:t>
      </w:r>
      <w:r>
        <w:rPr>
          <w:rFonts w:ascii="Calibri" w:hAnsi="Calibri"/>
          <w:color w:val="525866"/>
          <w:sz w:val="22"/>
        </w:rPr>
        <w:t xml:space="preserve"> BK noted “strong money market fund flows” and ETF AUC reaching $4.4T (+35% YoY). IVZ’s global liquidity AUM of $214.5B at June 30 and ETF platform of ~$1.2T should benefit from the same dynamics. </w:t>
      </w:r>
    </w:p>
    <w:p>
      <w:pPr>
        <w:pStyle w:val="ListBullet"/>
        <w:ind w:left="360" w:hanging="360"/>
      </w:pPr>
      <w:r>
        <w:rPr>
          <w:rFonts w:ascii="Calibri" w:hAnsi="Calibri"/>
          <w:b/>
          <w:color w:val="525866"/>
          <w:sz w:val="22"/>
        </w:rPr>
        <w:t>Record EPS of $2.45 (+27% YoY) and ~600 bps of positive operating leverage:</w:t>
      </w:r>
      <w:r>
        <w:rPr>
          <w:rFonts w:ascii="Calibri" w:hAnsi="Calibri"/>
          <w:color w:val="525866"/>
          <w:sz w:val="22"/>
        </w:rPr>
        <w:t xml:space="preserve"> BK expanded its pre-tax margin to 40% and ROTCE to 31%. The strong operating leverage across financial services firms in Q2 is a positive read-through for IVZ’s margin expansion narrative. </w:t>
      </w:r>
    </w:p>
    <w:p>
      <w:pPr>
        <w:pStyle w:val="ListBullet"/>
        <w:ind w:left="360" w:hanging="360"/>
      </w:pPr>
      <w:r>
        <w:rPr>
          <w:rFonts w:ascii="Calibri" w:hAnsi="Calibri"/>
          <w:b/>
          <w:color w:val="525866"/>
          <w:sz w:val="22"/>
        </w:rPr>
        <w:t>Constructive market backdrop described:</w:t>
      </w:r>
      <w:r>
        <w:rPr>
          <w:rFonts w:ascii="Calibri" w:hAnsi="Calibri"/>
          <w:color w:val="525866"/>
          <w:sz w:val="22"/>
        </w:rPr>
        <w:t xml:space="preserve"> BK described “resilient corporate earnings, significant investment in AI infrastructure, and stable labor markets” as the key drivers of the Q2 environment. This macro backdrop directly supports IVZ’s QQQ AI-trade demand narrative. </w:t>
      </w:r>
    </w:p>
    <w:p>
      <w:pPr>
        <w:pStyle w:val="ListBullet"/>
        <w:ind w:left="360" w:hanging="360"/>
      </w:pPr>
      <w:r>
        <w:rPr>
          <w:rFonts w:ascii="Calibri" w:hAnsi="Calibri"/>
          <w:b/>
          <w:color w:val="525866"/>
          <w:sz w:val="22"/>
        </w:rPr>
        <w:t>FX headwind from stronger USD:</w:t>
      </w:r>
      <w:r>
        <w:rPr>
          <w:rFonts w:ascii="Calibri" w:hAnsi="Calibri"/>
          <w:color w:val="525866"/>
          <w:sz w:val="22"/>
        </w:rPr>
        <w:t xml:space="preserve"> BK noted AUM growth was “partially offset by the unfavorable impact of a stronger US dollar.” IVZ, with ~40% of AUM outside the US, faces a similar FX headwind — the June AUM release noted FX movements reduced AUM by $6.4B in June alone.</w:t>
      </w:r>
    </w:p>
    <w:p>
      <w:pPr>
        <w:pStyle w:val="Heading3"/>
      </w:pPr>
      <w:r>
        <w:rPr>
          <w:rFonts w:ascii="Calibri" w:hAnsi="Calibri"/>
          <w:b/>
          <w:color w:val="3B4259"/>
          <w:sz w:val="24"/>
        </w:rPr>
        <w:t>Ameriprise Financial (AMP) — Q2 2026 Earnings (July 23, 2026)</w:t>
      </w:r>
    </w:p>
    <w:p>
      <w:r>
        <w:rPr>
          <w:rFonts w:ascii="Calibri" w:hAnsi="Calibri"/>
          <w:b/>
          <w:color w:val="525866"/>
          <w:sz w:val="22"/>
        </w:rPr>
        <w:t xml:space="preserve">Relevance: </w:t>
      </w:r>
      <w:r>
        <w:rPr>
          <w:rFonts w:ascii="Calibri" w:hAnsi="Calibri"/>
          <w:color w:val="525866"/>
          <w:sz w:val="22"/>
        </w:rPr>
        <w:t>AMP (Columbia Threadneedle) is a direct active management peer and a read-through for retail/advisor flows, active ETF traction, and SMA/model portfolio demand.</w:t>
      </w:r>
    </w:p>
    <w:p>
      <w:pPr>
        <w:pStyle w:val="ListBullet"/>
        <w:ind w:left="360" w:hanging="360"/>
      </w:pPr>
      <w:r>
        <w:rPr>
          <w:rFonts w:ascii="Calibri" w:hAnsi="Calibri"/>
          <w:b/>
          <w:color w:val="525866"/>
          <w:sz w:val="22"/>
        </w:rPr>
        <w:t>Active ETF traction and SMA/model momentum — validates IVZ’s personalization strategy:</w:t>
      </w:r>
      <w:r>
        <w:rPr>
          <w:rFonts w:ascii="Calibri" w:hAnsi="Calibri"/>
          <w:color w:val="525866"/>
          <w:sz w:val="22"/>
        </w:rPr>
        <w:t xml:space="preserve"> AMP reported it is “gaining traction in active ETFs” and launched two new active premium income ETF strategies and three active ETFs in EMEA. SMAs and models “continue to gain good traction and growth where we’re a top ten provider.” IVZ’s SMA platform (~$40B, growing ~18–20% annually) and active ETF platform (~40 funds, ~$40B AUM) are well-positioned to benefit from the same structural tailwind. </w:t>
      </w:r>
    </w:p>
    <w:p>
      <w:pPr>
        <w:pStyle w:val="ListBullet"/>
        <w:ind w:left="360" w:hanging="360"/>
      </w:pPr>
      <w:r>
        <w:rPr>
          <w:rFonts w:ascii="Calibri" w:hAnsi="Calibri"/>
          <w:b/>
          <w:color w:val="525866"/>
          <w:sz w:val="22"/>
        </w:rPr>
        <w:t>Asset management margin reached 43% — above AMP’s 35–39% target range:</w:t>
      </w:r>
      <w:r>
        <w:rPr>
          <w:rFonts w:ascii="Calibri" w:hAnsi="Calibri"/>
          <w:color w:val="525866"/>
          <w:sz w:val="22"/>
        </w:rPr>
        <w:t xml:space="preserve"> AMP’s asset management margin expanded significantly, driven by higher market levels and disciplined expense management. Management described the margin as “sustainable.” This is a positive read-through for IVZ’s margin expansion narrative, though IVZ’s starting point (34.5% in Q1) is lower. </w:t>
      </w:r>
    </w:p>
    <w:p>
      <w:pPr>
        <w:pStyle w:val="ListBullet"/>
        <w:ind w:left="360" w:hanging="360"/>
      </w:pPr>
      <w:r>
        <w:rPr>
          <w:rFonts w:ascii="Calibri" w:hAnsi="Calibri"/>
          <w:b/>
          <w:color w:val="525866"/>
          <w:sz w:val="22"/>
        </w:rPr>
        <w:t>Underlying fee rate stable at ~47 bps:</w:t>
      </w:r>
      <w:r>
        <w:rPr>
          <w:rFonts w:ascii="Calibri" w:hAnsi="Calibri"/>
          <w:color w:val="525866"/>
          <w:sz w:val="22"/>
        </w:rPr>
        <w:t xml:space="preserve"> AMP’s asset management fee rate held steady, suggesting that the shift toward ETFs and SMAs has not materially compressed blended fee rates for active managers with diversified product mixes. This is a positive read-through for IVZ’s net revenue yield stabilization narrative. </w:t>
      </w:r>
    </w:p>
    <w:p>
      <w:pPr>
        <w:pStyle w:val="ListBullet"/>
        <w:ind w:left="360" w:hanging="360"/>
      </w:pPr>
      <w:r>
        <w:rPr>
          <w:rFonts w:ascii="Calibri" w:hAnsi="Calibri"/>
          <w:b/>
          <w:color w:val="525866"/>
          <w:sz w:val="22"/>
        </w:rPr>
        <w:t>Organic flows impacted by seasonal tax payments and advisor transitions:</w:t>
      </w:r>
      <w:r>
        <w:rPr>
          <w:rFonts w:ascii="Calibri" w:hAnsi="Calibri"/>
          <w:color w:val="525866"/>
          <w:sz w:val="22"/>
        </w:rPr>
        <w:t xml:space="preserve"> AMP noted that “overall flows in the quarter were impacted by higher seasonal tax payments as well as advisor transitions.” Total net outflows improved to $6.5B. IVZ’s retail channel may face similar seasonal dynamics, though IVZ’s strong ETF and China JV flows should more than offset any retail headwinds. </w:t>
      </w:r>
    </w:p>
    <w:p>
      <w:pPr>
        <w:pStyle w:val="ListBullet"/>
        <w:ind w:left="360" w:hanging="360"/>
      </w:pPr>
      <w:r>
        <w:rPr>
          <w:rFonts w:ascii="Calibri" w:hAnsi="Calibri"/>
          <w:b/>
          <w:color w:val="525866"/>
          <w:sz w:val="22"/>
        </w:rPr>
        <w:t>EMEA environment “more volatile” due to geopolitical events:</w:t>
      </w:r>
      <w:r>
        <w:rPr>
          <w:rFonts w:ascii="Calibri" w:hAnsi="Calibri"/>
          <w:color w:val="525866"/>
          <w:sz w:val="22"/>
        </w:rPr>
        <w:t xml:space="preserve"> AMP noted that “the environment across Europe has been a bit more volatile based on impacts of geopolitical events.” IVZ’s European ETF AUM (~$200B) and broader international platform (~40% of AUM outside the US) may face similar headwinds, though the June AUM release showed only modest FX impact. </w:t>
      </w:r>
    </w:p>
    <w:p>
      <w:pPr>
        <w:pStyle w:val="ListBullet"/>
        <w:ind w:left="360" w:hanging="360"/>
      </w:pPr>
      <w:r>
        <w:rPr>
          <w:rFonts w:ascii="Calibri" w:hAnsi="Calibri"/>
          <w:b/>
          <w:color w:val="525866"/>
          <w:sz w:val="22"/>
        </w:rPr>
        <w:t>AI driving advisor productivity — 30+ hours/week saved per practice:</w:t>
      </w:r>
      <w:r>
        <w:rPr>
          <w:rFonts w:ascii="Calibri" w:hAnsi="Calibri"/>
          <w:color w:val="525866"/>
          <w:sz w:val="22"/>
        </w:rPr>
        <w:t xml:space="preserve"> AMP cited specific AI productivity metrics (e-meeting automation saving 10–20 hours/week, meeting summarization 5–10 hours/week). IVZ has noted AI tools are used daily by ~75% of employees, with the investments organization as the heaviest user. The industry-wide AI adoption trend supports IVZ’s technology investment narrative.</w:t>
      </w:r>
    </w:p>
    <w:p>
      <w:pPr>
        <w:pStyle w:val="Heading3"/>
      </w:pPr>
      <w:r>
        <w:rPr>
          <w:rFonts w:ascii="Calibri" w:hAnsi="Calibri"/>
          <w:b/>
          <w:color w:val="3B4259"/>
          <w:sz w:val="24"/>
        </w:rPr>
        <w:t>SEI Investments (SEIC) — Q2 2026 Earnings (July 22, 2026)</w:t>
      </w:r>
    </w:p>
    <w:p>
      <w:r>
        <w:rPr>
          <w:rFonts w:ascii="Calibri" w:hAnsi="Calibri"/>
          <w:b/>
          <w:color w:val="525866"/>
          <w:sz w:val="22"/>
        </w:rPr>
        <w:t xml:space="preserve">Relevance: </w:t>
      </w:r>
      <w:r>
        <w:rPr>
          <w:rFonts w:ascii="Calibri" w:hAnsi="Calibri"/>
          <w:color w:val="525866"/>
          <w:sz w:val="22"/>
        </w:rPr>
        <w:t>SEIC is a read-through for the broader asset management and wealth services environment, ETF momentum, and private markets expansion into retail/retirement channels.</w:t>
      </w:r>
    </w:p>
    <w:p>
      <w:pPr>
        <w:pStyle w:val="ListBullet"/>
        <w:ind w:left="360" w:hanging="360"/>
      </w:pPr>
      <w:r>
        <w:rPr>
          <w:rFonts w:ascii="Calibri" w:hAnsi="Calibri"/>
          <w:b/>
          <w:color w:val="525866"/>
          <w:sz w:val="22"/>
        </w:rPr>
        <w:t>Record quarterly revenue (+15% YoY), operating profit (+36% YoY), and EPS (+38% YoY):</w:t>
      </w:r>
      <w:r>
        <w:rPr>
          <w:rFonts w:ascii="Calibri" w:hAnsi="Calibri"/>
          <w:color w:val="525866"/>
          <w:sz w:val="22"/>
        </w:rPr>
        <w:t xml:space="preserve"> SEIC described Q2 as “outstanding,” with adjusted operating margins expanding 500 bps YoY and 30 bps sequentially. Revenue increased $82M while expenses increased only $34M, demonstrating strong operating leverage. This is a positive read-through for IVZ’s Q2 operating leverage narrative. </w:t>
      </w:r>
    </w:p>
    <w:p>
      <w:pPr>
        <w:pStyle w:val="ListBullet"/>
        <w:ind w:left="360" w:hanging="360"/>
      </w:pPr>
      <w:r>
        <w:rPr>
          <w:rFonts w:ascii="Calibri" w:hAnsi="Calibri"/>
          <w:b/>
          <w:color w:val="525866"/>
          <w:sz w:val="22"/>
        </w:rPr>
        <w:t>Strong market appreciation drove AUM higher:</w:t>
      </w:r>
      <w:r>
        <w:rPr>
          <w:rFonts w:ascii="Calibri" w:hAnsi="Calibri"/>
          <w:color w:val="525866"/>
          <w:sz w:val="22"/>
        </w:rPr>
        <w:t xml:space="preserve"> SEIC noted “quarter-end assets finished substantially higher than where they began the quarter, driven by strong market appreciation.” This confirms the favorable market environment for IVZ’s AUM growth in Q2. </w:t>
      </w:r>
    </w:p>
    <w:p>
      <w:pPr>
        <w:pStyle w:val="ListBullet"/>
        <w:ind w:left="360" w:hanging="360"/>
      </w:pPr>
      <w:r>
        <w:rPr>
          <w:rFonts w:ascii="Calibri" w:hAnsi="Calibri"/>
          <w:b/>
          <w:color w:val="525866"/>
          <w:sz w:val="22"/>
        </w:rPr>
        <w:t>ETF business grew from $3B to over $8B in 12 months:</w:t>
      </w:r>
      <w:r>
        <w:rPr>
          <w:rFonts w:ascii="Calibri" w:hAnsi="Calibri"/>
          <w:color w:val="525866"/>
          <w:sz w:val="22"/>
        </w:rPr>
        <w:t xml:space="preserve"> SEIC’s ETF AUM more than doubled in a year, and the company launched its latest active factor ETF (SEUS). SEIC noted “momentum in ETFs, expanding our private market capabilities and advancing a growing product pipeline.” This validates the structural ETF growth tailwind benefiting IVZ’s ~$1.2T ETF platform. </w:t>
      </w:r>
    </w:p>
    <w:p>
      <w:pPr>
        <w:pStyle w:val="ListBullet"/>
        <w:ind w:left="360" w:hanging="360"/>
      </w:pPr>
      <w:r>
        <w:rPr>
          <w:rFonts w:ascii="Calibri" w:hAnsi="Calibri"/>
          <w:b/>
          <w:color w:val="525866"/>
          <w:sz w:val="22"/>
        </w:rPr>
        <w:t>Private markets expansion into retail and retirement ‘in the early innings’:</w:t>
      </w:r>
      <w:r>
        <w:rPr>
          <w:rFonts w:ascii="Calibri" w:hAnsi="Calibri"/>
          <w:color w:val="525866"/>
          <w:sz w:val="22"/>
        </w:rPr>
        <w:t xml:space="preserve"> SEIC described the “continued expansion of private markets into retail and retirement channels” as “in the early innings” and noted “growing interest in bringing private market exposure into retirement plans, especially through collective investment trusts.” This validates IVZ’s private markets wealth/DC channel expansion strategy, though management has cautioned this will take years to materialize. </w:t>
      </w:r>
    </w:p>
    <w:p>
      <w:pPr>
        <w:pStyle w:val="ListBullet"/>
        <w:ind w:left="360" w:hanging="360"/>
      </w:pPr>
      <w:r>
        <w:rPr>
          <w:rFonts w:ascii="Calibri" w:hAnsi="Calibri"/>
          <w:b/>
          <w:color w:val="525866"/>
          <w:sz w:val="22"/>
        </w:rPr>
        <w:t>Lower fee rates on ETFs and SMAs vs. mutual funds — a yield headwind to watch:</w:t>
      </w:r>
      <w:r>
        <w:rPr>
          <w:rFonts w:ascii="Calibri" w:hAnsi="Calibri"/>
          <w:color w:val="525866"/>
          <w:sz w:val="22"/>
        </w:rPr>
        <w:t xml:space="preserve"> SEIC explicitly noted that “those products [ETFs and SMAs] generally carry lower fee rates than traditional mutual funds.” This is consistent with IVZ’s net revenue yield pressure narrative as the product mix shifts toward lower-fee wrappers. </w:t>
      </w:r>
    </w:p>
    <w:p>
      <w:pPr>
        <w:pStyle w:val="ListBullet"/>
        <w:ind w:left="360" w:hanging="360"/>
      </w:pPr>
      <w:r>
        <w:rPr>
          <w:rFonts w:ascii="Calibri" w:hAnsi="Calibri"/>
          <w:b/>
          <w:color w:val="525866"/>
          <w:sz w:val="22"/>
        </w:rPr>
        <w:t>LSV generated ~$2B of net inflows — ‘notable reversal from recent trends’:</w:t>
      </w:r>
      <w:r>
        <w:rPr>
          <w:rFonts w:ascii="Calibri" w:hAnsi="Calibri"/>
          <w:color w:val="525866"/>
          <w:sz w:val="22"/>
        </w:rPr>
        <w:t xml:space="preserve"> SEIC’s LSV segment (value equity) saw a reversal of outflows driven by a large new institutional mandate. This suggests institutional demand for active equity strategies may be improving, which could benefit IVZ’s fundamental equities platform ($318.1B AUM at June 30).</w:t>
      </w:r>
    </w:p>
    <w:p>
      <w:r>
        <w:rPr>
          <w:rFonts w:ascii="Calibri" w:hAnsi="Calibri"/>
          <w:i/>
          <w:color w:val="525866"/>
          <w:sz w:val="22"/>
        </w:rPr>
        <w:t xml:space="preserve">Sources for Peer Commentary Section: </w:t>
      </w:r>
      <w:r>
        <w:rPr>
          <w:rFonts w:ascii="Calibri" w:hAnsi="Calibri"/>
          <w:i/>
          <w:color w:val="525866"/>
          <w:sz w:val="22"/>
        </w:rPr>
        <w:t>BlackRock Q2 2026 Earnings Call Transcript (July 15, 2026); State Street Q2 2026 Earnings Call Transcript (July 16, 2026); BNY Mellon Q2 2026 Earnings Call Transcript (July 15, 2026); Ameriprise Financial Q2 2026 Earnings Call Transcript (July 23, 2026); SEI Investments Q2 2026 Earnings Call Transcript (July 22,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