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jci-earnings-predictions--2026-07-29"/>
    <w:p>
      <w:pPr>
        <w:pStyle w:val="Heading1"/>
      </w:pPr>
      <w:r>
        <w:t xml:space="preserve">JCI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(FQ3'26)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~$1.32 vs. cons $1.29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(FQ3'26)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~7% vs. cons ~6%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Record backlog (data-center led)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21.0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+</m:t>
              </m:r>
              <m:r>
                <m:t>22</m:t>
              </m:r>
            </m:oMath>
            <w:r>
              <w:t xml:space="preserve">20.4B (+18%)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4.90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4.87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leverage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~50%+ vs. cons ~48%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FQ4'26 organic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~6% vs. cons ~6% (FQ4'26)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Orders growth durability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orders ~+18% vs. cons ~+12% but plateau risk (FQ3'26)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+1.8% (STABILIZE)</w:t>
            </w:r>
          </w:p>
        </w:tc>
        <w:tc>
          <w:tcPr/>
          <w:p>
            <w:pPr>
              <w:pStyle w:val="Compact"/>
            </w:pPr>
            <w:r>
              <w:t xml:space="preserve">A beat-and-raise (EPS ~</w:t>
            </w:r>
            <m:oMath>
              <m:r>
                <m:t>1.32</m:t>
              </m:r>
              <m:r>
                <m:rPr>
                  <m:sty m:val="p"/>
                </m:rPr>
                <m:t>,</m:t>
              </m:r>
              <m:r>
                <m:t>F</m:t>
              </m:r>
              <m:r>
                <m:t>Y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4.90) against an easy year-ago order comp drives a positive day-1 pop, but shares have already paid for the data-center/backlog story (sitting ~5% off June highs, roughly flat vs. the May print). Out-period math is roughly neutral: the FY guide is raised so estimates aren't implicitly cut, but the order-growth deceleration (Q1 ~40% to Q2 ~30%) and services/EMEA softness cap follow-through. Net: initial gain holds but doesn't extend materially — stabilize rather than clean follow-through, with fade risk if orders visibly plateau.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2026-07-29T00:21:30Z</dcterms:created>
  <dcterms:modified xsi:type="dcterms:W3CDTF">2026-07-29T00:21:30Z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