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JCI before writing the preview. Let me gather recent filings, transcripts, and news.Let me read the most recent Q2 2026 earnings materials (which will contain Q3 guidance) and the year-ago Q3 for context.I have the key Q2 data and Q3 guidance. Let me get the year-ago Q3 comparison and recent stock price/news.Let me check for the most recent news heading into the print, including any portfolio/analyst developments.There's a June 1 "Gemba Day" investor event. Let me read the key session for long-term targets.I have what I need. Let me quickly verify a couple of stock stats before writing.I now have a complete picture. Here's the preview.</w:t>
      </w:r>
    </w:p>
    <w:p>
      <w:r>
        <w:pict>
          <v:rect style="width:0;height:1.5pt" o:hralign="center" o:hrstd="t" o:hr="t"/>
        </w:pict>
      </w:r>
    </w:p>
    <w:bookmarkStart w:id="18" w:name="Xb6e881b03ee5bd06a1f3fa9d39d03fb5166bc6b"/>
    <w:p>
      <w:pPr>
        <w:pStyle w:val="Heading1"/>
      </w:pPr>
      <w:r>
        <w:t xml:space="preserve">Johnson Controls (JCI) — Fiscal Q3 2026 Earnings Preview</w:t>
      </w:r>
    </w:p>
    <w:bookmarkStart w:id="9" w:name="X14f3557bbb557400aff27f382b99c37cd32a5b9"/>
    <w:p>
      <w:pPr>
        <w:pStyle w:val="Heading3"/>
      </w:pPr>
      <w:r>
        <w:t xml:space="preserve">Report date: Wednesday, July 29, 2026 (before market open) · Conference call 8:30 a.m. ET</w:t>
      </w:r>
    </w:p>
    <w:bookmarkEnd w:id="9"/>
    <w:bookmarkStart w:id="10" w:name="the-one-line-setup"/>
    <w:p>
      <w:pPr>
        <w:pStyle w:val="Heading2"/>
      </w:pPr>
      <w:r>
        <w:t xml:space="preserve">The one-line setup</w:t>
      </w:r>
    </w:p>
    <w:p>
      <w:pPr>
        <w:pStyle w:val="FirstParagraph"/>
      </w:pPr>
      <w:r>
        <w:t xml:space="preserve">JCI reports a fiscal Q3 (quarter ended June 30) into which management has already given a very specific bar:</w:t>
      </w:r>
      <w:r>
        <w:t xml:space="preserve"> </w:t>
      </w:r>
      <w:r>
        <w:rPr>
          <w:b/>
          <w:bCs/>
        </w:rPr>
        <w:t xml:space="preserve">~6% organic sales growth, ~45% operating leverage, and ~$1.28 adjusted EPS</w:t>
      </w:r>
      <w:r>
        <w:t xml:space="preserve">. The debate isn't really whether the quarter is "good" — the data-center-led backlog makes a beat/in-line result likely — it's whether orders can</w:t>
      </w:r>
      <w:r>
        <w:t xml:space="preserve"> </w:t>
      </w:r>
      <w:r>
        <w:rPr>
          <w:i/>
          <w:iCs/>
        </w:rPr>
        <w:t xml:space="preserve">stay</w:t>
      </w:r>
      <w:r>
        <w:t xml:space="preserve"> </w:t>
      </w:r>
      <w:r>
        <w:t xml:space="preserve">elevated, whether the more mundane parts of the portfolio (services, EMEA) are stabilizing, and how much upside CEO Joakim Weidemanis's "business system" transformation can layer on top.</w:t>
      </w:r>
    </w:p>
    <w:p>
      <w:r>
        <w:pict>
          <v:rect style="width:0;height:1.5pt" o:hralign="center" o:hrstd="t" o:hr="t"/>
        </w:pict>
      </w:r>
    </w:p>
    <w:bookmarkEnd w:id="10"/>
    <w:bookmarkStart w:id="11" w:name="what-management-guided-to"/>
    <w:p>
      <w:pPr>
        <w:pStyle w:val="Heading2"/>
      </w:pPr>
      <w:r>
        <w:t xml:space="preserve">What management guided to</w:t>
      </w:r>
    </w:p>
    <w:p>
      <w:pPr>
        <w:pStyle w:val="FirstParagraph"/>
      </w:pPr>
      <w:r>
        <w:t xml:space="preserve">On the May 6 Q2 call, JCI initiated Q3 guidance and raised the full year: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Q3 FY26 guide</w:t>
            </w:r>
          </w:p>
        </w:tc>
        <w:tc>
          <w:tcPr/>
          <w:p>
            <w:pPr>
              <w:pStyle w:val="Compact"/>
            </w:pPr>
            <w:r>
              <w:t xml:space="preserve">FY26 guide (raised)</w:t>
            </w:r>
          </w:p>
        </w:tc>
      </w:tr>
      <w:tr>
        <w:tc>
          <w:tcPr/>
          <w:p>
            <w:pPr>
              <w:pStyle w:val="Compact"/>
            </w:pPr>
            <w:r>
              <w:t xml:space="preserve">Organic sales growth</w:t>
            </w:r>
          </w:p>
        </w:tc>
        <w:tc>
          <w:tcPr/>
          <w:p>
            <w:pPr>
              <w:pStyle w:val="Compact"/>
            </w:pPr>
            <w:r>
              <w:t xml:space="preserve">~6%</w:t>
            </w:r>
          </w:p>
        </w:tc>
        <w:tc>
          <w:tcPr/>
          <w:p>
            <w:pPr>
              <w:pStyle w:val="Compact"/>
            </w:pPr>
            <w:r>
              <w:t xml:space="preserve">~6% (was "mid-single digit")</w:t>
            </w:r>
          </w:p>
        </w:tc>
      </w:tr>
      <w:tr>
        <w:tc>
          <w:tcPr/>
          <w:p>
            <w:pPr>
              <w:pStyle w:val="Compact"/>
            </w:pPr>
            <w:r>
              <w:t xml:space="preserve">Operating leverage</w:t>
            </w:r>
          </w:p>
        </w:tc>
        <w:tc>
          <w:tcPr/>
          <w:p>
            <w:pPr>
              <w:pStyle w:val="Compact"/>
            </w:pPr>
            <w:r>
              <w:t xml:space="preserve">~45%</w:t>
            </w:r>
          </w:p>
        </w:tc>
        <w:tc>
          <w:tcPr/>
          <w:p>
            <w:pPr>
              <w:pStyle w:val="Compact"/>
            </w:pPr>
            <w:r>
              <w:t xml:space="preserve">~50% (unchanged)</w:t>
            </w:r>
          </w:p>
        </w:tc>
      </w:tr>
      <w:tr>
        <w:tc>
          <w:tcPr/>
          <w:p>
            <w:pPr>
              <w:pStyle w:val="Compact"/>
            </w:pPr>
            <w:r>
              <w:t xml:space="preserve">Adjusted EPS</w:t>
            </w:r>
          </w:p>
        </w:tc>
        <w:tc>
          <w:tcPr/>
          <w:p>
            <w:pPr>
              <w:pStyle w:val="Compact"/>
            </w:pPr>
            <w:r>
              <w:t xml:space="preserve">~$1.28</w:t>
            </w:r>
          </w:p>
        </w:tc>
        <w:tc>
          <w:tcPr/>
          <w:p>
            <w:pPr>
              <w:pStyle w:val="Compact"/>
            </w:pPr>
            <w:r>
              <w:t xml:space="preserve">~</w:t>
            </w:r>
            <m:oMath>
              <m:r>
                <m:t>4.85</m:t>
              </m:r>
              <m:r>
                <m:rPr>
                  <m:sty m:val="p"/>
                </m:rPr>
                <m:t>(</m:t>
              </m:r>
              <m:r>
                <m:t>w</m:t>
              </m:r>
              <m:r>
                <m:t>a</m:t>
              </m:r>
              <m:r>
                <m:t>s</m:t>
              </m:r>
              <m:r>
                <m:t> </m:t>
              </m:r>
            </m:oMath>
            <w:r>
              <w:t xml:space="preserve">4.70)</w:t>
            </w:r>
          </w:p>
        </w:tc>
      </w:tr>
      <w:tr>
        <w:tc>
          <w:tcPr/>
          <w:p>
            <w:pPr>
              <w:pStyle w:val="Compact"/>
            </w:pPr>
            <w:r>
              <w:t xml:space="preserve">Adj. FCF conversion</w:t>
            </w:r>
          </w:p>
        </w:tc>
        <w:tc>
          <w:tcPr/>
          <w:p>
            <w:pPr>
              <w:pStyle w:val="Compact"/>
            </w:pPr>
            <w:r>
              <w:t xml:space="preserve">—</w:t>
            </w:r>
          </w:p>
        </w:tc>
        <w:tc>
          <w:tcPr/>
          <w:p>
            <w:pPr>
              <w:pStyle w:val="Compact"/>
            </w:pPr>
            <w:r>
              <w:t xml:space="preserve">~100% (unchanged)</w:t>
            </w:r>
          </w:p>
        </w:tc>
      </w:tr>
    </w:tbl>
    <w:p>
      <w:pPr>
        <w:pStyle w:val="BodyText"/>
      </w:pPr>
      <w:r>
        <w:t xml:space="preserve">The ~$1.28 Q3 guide implies **~22% adjusted EPS growth** versus the year-ago $1.05. The raised $4.85 full-year number is ~30% growth and $0.30 above the original start-of-year guide — so momentum, not just resilience, is the story. With H1 adjusted EPS at</w:t>
      </w:r>
      <w:r>
        <w:t xml:space="preserve"> </w:t>
      </w:r>
      <m:oMath>
        <m:r>
          <m:t>2.08</m:t>
        </m:r>
        <m:r>
          <m:rPr>
            <m:sty m:val="p"/>
          </m:rPr>
          <m:t>,</m:t>
        </m:r>
        <m:r>
          <m:t>t</m:t>
        </m:r>
        <m:r>
          <m:t>h</m:t>
        </m:r>
        <m:r>
          <m:t>e</m:t>
        </m:r>
        <m:r>
          <m:t>g</m:t>
        </m:r>
        <m:r>
          <m:t>u</m:t>
        </m:r>
        <m:r>
          <m:t>i</m:t>
        </m:r>
        <m:r>
          <m:t>d</m:t>
        </m:r>
        <m:r>
          <m:t>e</m:t>
        </m:r>
        <m:r>
          <m:t>i</m:t>
        </m:r>
        <m:r>
          <m:t>m</m:t>
        </m:r>
        <m:r>
          <m:t>p</m:t>
        </m:r>
        <m:r>
          <m:t>l</m:t>
        </m:r>
        <m:r>
          <m:t>i</m:t>
        </m:r>
        <m:r>
          <m:t>e</m:t>
        </m:r>
        <m:r>
          <m:t>s</m:t>
        </m:r>
        <m:r>
          <m:t> </m:t>
        </m:r>
      </m:oMath>
      <w:r>
        <w:t xml:space="preserve">2.77 across H2, keeping the back half front-loaded toward Q3/Q4 execution.</w:t>
      </w:r>
    </w:p>
    <w:p>
      <w:r>
        <w:pict>
          <v:rect style="width:0;height:1.5pt" o:hralign="center" o:hrstd="t" o:hr="t"/>
        </w:pict>
      </w:r>
    </w:p>
    <w:bookmarkEnd w:id="11"/>
    <w:bookmarkStart w:id="12" w:name="X0a571f8af0319a0fba99d7e9a096e2c5ff1e45e"/>
    <w:p>
      <w:pPr>
        <w:pStyle w:val="Heading2"/>
      </w:pPr>
      <w:r>
        <w:t xml:space="preserve">Why the quarter should look strong: the order/backlog engine</w:t>
      </w:r>
    </w:p>
    <w:p>
      <w:pPr>
        <w:pStyle w:val="FirstParagraph"/>
      </w:pPr>
      <w:r>
        <w:t xml:space="preserve">The core bull case is demand visibility. JCI has strung together two exceptional order quarters —</w:t>
      </w:r>
      <w:r>
        <w:t xml:space="preserve"> </w:t>
      </w:r>
      <w:r>
        <w:rPr>
          <w:b/>
          <w:bCs/>
        </w:rPr>
        <w:t xml:space="preserve">+~40% organic in Q1 and +30% in Q2</w:t>
      </w:r>
      <w:r>
        <w:t xml:space="preserve"> </w:t>
      </w:r>
      <w:r>
        <w:t xml:space="preserve">— driving</w:t>
      </w:r>
      <w:r>
        <w:t xml:space="preserve"> </w:t>
      </w:r>
      <w:r>
        <w:rPr>
          <w:b/>
          <w:bCs/>
        </w:rPr>
        <w:t xml:space="preserve">record backlog of $20.0 billion, up 26%.</w:t>
      </w:r>
      <w:r>
        <w:t xml:space="preserve"> </w:t>
      </w:r>
      <w:r>
        <w:t xml:space="preserve">Management said roughly</w:t>
      </w:r>
      <w:r>
        <w:t xml:space="preserve"> </w:t>
      </w:r>
      <w:r>
        <w:rPr>
          <w:b/>
          <w:bCs/>
        </w:rPr>
        <w:t xml:space="preserve">70% of backlog converts to revenue within 12 months</w:t>
      </w:r>
      <w:r>
        <w:t xml:space="preserve">, with the remainder pushed out largely by customers' power/electrical-infrastructure timing on data-center sites.</w:t>
      </w:r>
    </w:p>
    <w:p>
      <w:pPr>
        <w:pStyle w:val="BodyText"/>
      </w:pPr>
      <w:r>
        <w:t xml:space="preserve">A key nuance for tomorrow:</w:t>
      </w:r>
      <w:r>
        <w:t xml:space="preserve"> </w:t>
      </w:r>
      <w:r>
        <w:rPr>
          <w:b/>
          <w:bCs/>
        </w:rPr>
        <w:t xml:space="preserve">the year-ago Q3 order comp is easy.</w:t>
      </w:r>
      <w:r>
        <w:t xml:space="preserve"> </w:t>
      </w:r>
      <w:r>
        <w:t xml:space="preserve">In fiscal Q3 2025, orders grew only +2% organically and backlog was $14.6B (+11%) — the data-center surge hadn't fully kicked in yet. That means another headline order print in the 20%+ range is very achievable, but investors have started asking whether orders are</w:t>
      </w:r>
      <w:r>
        <w:t xml:space="preserve"> </w:t>
      </w:r>
      <w:r>
        <w:rPr>
          <w:i/>
          <w:iCs/>
        </w:rPr>
        <w:t xml:space="preserve">plateauing</w:t>
      </w:r>
      <w:r>
        <w:t xml:space="preserve"> </w:t>
      </w:r>
      <w:r>
        <w:t xml:space="preserve">at a high level (Q2's +30% was strong but below Q1's ~40%). Watch the</w:t>
      </w:r>
      <w:r>
        <w:t xml:space="preserve"> </w:t>
      </w:r>
      <w:r>
        <w:rPr>
          <w:b/>
          <w:bCs/>
        </w:rPr>
        <w:t xml:space="preserve">order growth rate, pipeline commentary, and any update on the 70% conversion figure</w:t>
      </w:r>
      <w:r>
        <w:t xml:space="preserve"> </w:t>
      </w:r>
      <w:r>
        <w:t xml:space="preserve">as the real tells.</w:t>
      </w:r>
    </w:p>
    <w:p>
      <w:r>
        <w:pict>
          <v:rect style="width:0;height:1.5pt" o:hralign="center" o:hrstd="t" o:hr="t"/>
        </w:pict>
      </w:r>
    </w:p>
    <w:bookmarkEnd w:id="12"/>
    <w:bookmarkStart w:id="13" w:name="the-four-things-id-focus-on"/>
    <w:p>
      <w:pPr>
        <w:pStyle w:val="Heading2"/>
      </w:pPr>
      <w:r>
        <w:t xml:space="preserve">The four things I'd focus on</w:t>
      </w:r>
    </w:p>
    <w:p>
      <w:pPr>
        <w:pStyle w:val="FirstParagraph"/>
      </w:pPr>
      <w:r>
        <w:rPr>
          <w:b/>
          <w:bCs/>
        </w:rPr>
        <w:t xml:space="preserve">1) Data center — content, mix, and the ramp.</w:t>
      </w:r>
      <w:r>
        <w:t xml:space="preserve"> </w:t>
      </w:r>
      <w:r>
        <w:t xml:space="preserve">Data center was ~12% of FY25 revenue and management targets **~1/3 of the company within five years**. Key incremental items to listen for:</w:t>
      </w:r>
    </w:p>
    <w:p>
      <w:pPr>
        <w:pStyle w:val="Compact"/>
        <w:numPr>
          <w:ilvl w:val="0"/>
          <w:numId w:val="1001"/>
        </w:numPr>
      </w:pPr>
      <w:r>
        <w:rPr>
          <w:b/>
          <w:bCs/>
        </w:rPr>
        <w:t xml:space="preserve">CDU ramp</w:t>
      </w:r>
      <w:r>
        <w:t xml:space="preserve"> </w:t>
      </w:r>
      <w:r>
        <w:t xml:space="preserve">(~$100M this year, "hundreds of millions" in pipeline) and timing of the</w:t>
      </w:r>
      <w:r>
        <w:t xml:space="preserve"> </w:t>
      </w:r>
      <w:r>
        <w:rPr>
          <w:b/>
          <w:bCs/>
        </w:rPr>
        <w:t xml:space="preserve">Alloy Enterprises</w:t>
      </w:r>
      <w:r>
        <w:t xml:space="preserve"> </w:t>
      </w:r>
      <w:r>
        <w:t xml:space="preserve">technology being embedded into CDUs/cold plates (management said "within the next year").</w:t>
      </w:r>
    </w:p>
    <w:p>
      <w:pPr>
        <w:pStyle w:val="Compact"/>
        <w:numPr>
          <w:ilvl w:val="0"/>
          <w:numId w:val="1001"/>
        </w:numPr>
      </w:pPr>
      <w:r>
        <w:rPr>
          <w:b/>
          <w:bCs/>
        </w:rPr>
        <w:t xml:space="preserve">Air handling (Silent-Aire) content is rising</w:t>
      </w:r>
      <w:r>
        <w:t xml:space="preserve">, not falling — JCI argues direct-to-chip liquid cooling has</w:t>
      </w:r>
      <w:r>
        <w:t xml:space="preserve"> </w:t>
      </w:r>
      <w:r>
        <w:rPr>
          <w:i/>
          <w:iCs/>
        </w:rPr>
        <w:t xml:space="preserve">not</w:t>
      </w:r>
      <w:r>
        <w:t xml:space="preserve"> </w:t>
      </w:r>
      <w:r>
        <w:t xml:space="preserve">cannibalized air handlers because "there's more that generates heat than the chips." Any change to this narrative matters.</w:t>
      </w:r>
    </w:p>
    <w:p>
      <w:pPr>
        <w:pStyle w:val="Compact"/>
        <w:numPr>
          <w:ilvl w:val="0"/>
          <w:numId w:val="1001"/>
        </w:numPr>
      </w:pPr>
      <w:r>
        <w:rPr>
          <w:b/>
          <w:bCs/>
        </w:rPr>
        <w:t xml:space="preserve">Air- vs. water-cooled chiller mix</w:t>
      </w:r>
      <w:r>
        <w:t xml:space="preserve"> </w:t>
      </w:r>
      <w:r>
        <w:t xml:space="preserve">(JCI is strong in air-cooled and says the market has stayed air-weighted).</w:t>
      </w:r>
    </w:p>
    <w:p>
      <w:pPr>
        <w:pStyle w:val="FirstParagraph"/>
      </w:pPr>
      <w:r>
        <w:rPr>
          <w:b/>
          <w:bCs/>
        </w:rPr>
        <w:t xml:space="preserve">2) Services — the soft spot.</w:t>
      </w:r>
      <w:r>
        <w:t xml:space="preserve"> </w:t>
      </w:r>
      <w:r>
        <w:t xml:space="preserve">Service is ~1/3 of revenue and was the visible blemish last quarter. HVAC service is strong, but total service orders were sluggish because JCI is deliberately</w:t>
      </w:r>
      <w:r>
        <w:t xml:space="preserve"> </w:t>
      </w:r>
      <w:r>
        <w:rPr>
          <w:b/>
          <w:bCs/>
        </w:rPr>
        <w:t xml:space="preserve">rebalancing price vs. volume in its (less-differentiated) security service business</w:t>
      </w:r>
      <w:r>
        <w:t xml:space="preserve"> </w:t>
      </w:r>
      <w:r>
        <w:t xml:space="preserve">— margins up, volume down. Watch whether service organic growth re-accelerates; management framed higher-single-digit service growth as a medium-term goal via "productization."</w:t>
      </w:r>
    </w:p>
    <w:p>
      <w:pPr>
        <w:pStyle w:val="BodyText"/>
      </w:pPr>
      <w:r>
        <w:rPr>
          <w:b/>
          <w:bCs/>
        </w:rPr>
        <w:t xml:space="preserve">3) EMEA and the Middle East.</w:t>
      </w:r>
      <w:r>
        <w:t xml:space="preserve"> </w:t>
      </w:r>
      <w:r>
        <w:t xml:space="preserve">EMEA posted a big margin jump last quarter (+370bp to 14.9% adjusted) but ~1/3 of the Middle East business (Middle East ≈ 2–3% of total, ~10% of EMEA) was delayed by regional conflict. Management guided to</w:t>
      </w:r>
      <w:r>
        <w:t xml:space="preserve"> </w:t>
      </w:r>
      <w:r>
        <w:rPr>
          <w:b/>
          <w:bCs/>
        </w:rPr>
        <w:t xml:space="preserve">possible EMEA margin pressure in Q3 with recovery in Q4</w:t>
      </w:r>
      <w:r>
        <w:t xml:space="preserve"> </w:t>
      </w:r>
      <w:r>
        <w:t xml:space="preserve">and didn't assume a full Middle East snap-back. Any escalation or normalization here swings the segment.</w:t>
      </w:r>
    </w:p>
    <w:p>
      <w:pPr>
        <w:pStyle w:val="BodyText"/>
      </w:pPr>
      <w:r>
        <w:rPr>
          <w:b/>
          <w:bCs/>
        </w:rPr>
        <w:t xml:space="preserve">4) Americas margin/productivity.</w:t>
      </w:r>
      <w:r>
        <w:t xml:space="preserve"> </w:t>
      </w:r>
      <w:r>
        <w:t xml:space="preserve">Americas margins expanded ~100bp last quarter but carried a</w:t>
      </w:r>
      <w:r>
        <w:t xml:space="preserve"> </w:t>
      </w:r>
      <w:r>
        <w:rPr>
          <w:b/>
          <w:bCs/>
        </w:rPr>
        <w:t xml:space="preserve">productivity headwind from ramping new factory capacity</w:t>
      </w:r>
      <w:r>
        <w:t xml:space="preserve"> </w:t>
      </w:r>
      <w:r>
        <w:t xml:space="preserve">(training/onboarding). Management expects that ramp drag to persist through year-end but sees enough backlog to keep year-over-year margins rising. Watch the incremental margin here — it's the single biggest driver of the ~45%/~50% leverage targets.</w:t>
      </w:r>
    </w:p>
    <w:p>
      <w:r>
        <w:pict>
          <v:rect style="width:0;height:1.5pt" o:hralign="center" o:hrstd="t" o:hr="t"/>
        </w:pict>
      </w:r>
    </w:p>
    <w:bookmarkEnd w:id="13"/>
    <w:bookmarkStart w:id="14" w:name="X1fa29271fb01df90d3b878b65869e44d7393a9a"/>
    <w:p>
      <w:pPr>
        <w:pStyle w:val="Heading2"/>
      </w:pPr>
      <w:r>
        <w:t xml:space="preserve">The bigger story: the "business system" and the raised long-term algorithm</w:t>
      </w:r>
    </w:p>
    <w:p>
      <w:pPr>
        <w:pStyle w:val="FirstParagraph"/>
      </w:pPr>
      <w:r>
        <w:t xml:space="preserve">At the</w:t>
      </w:r>
      <w:r>
        <w:t xml:space="preserve"> </w:t>
      </w:r>
      <w:r>
        <w:rPr>
          <w:b/>
          <w:bCs/>
        </w:rPr>
        <w:t xml:space="preserve">June 1 "Gemba Day"</w:t>
      </w:r>
      <w:r>
        <w:t xml:space="preserve"> </w:t>
      </w:r>
      <w:r>
        <w:t xml:space="preserve">investor event, JCI</w:t>
      </w:r>
      <w:r>
        <w:t xml:space="preserve"> </w:t>
      </w:r>
      <w:r>
        <w:rPr>
          <w:b/>
          <w:bCs/>
        </w:rPr>
        <w:t xml:space="preserve">raised its long-term algorithm</w:t>
      </w:r>
      <w:r>
        <w:t xml:space="preserve">:</w:t>
      </w:r>
    </w:p>
    <w:p>
      <w:pPr>
        <w:pStyle w:val="Compact"/>
        <w:numPr>
          <w:ilvl w:val="0"/>
          <w:numId w:val="1002"/>
        </w:numPr>
      </w:pPr>
      <w:r>
        <w:t xml:space="preserve">Organic growth:</w:t>
      </w:r>
      <w:r>
        <w:t xml:space="preserve"> </w:t>
      </w:r>
      <w:r>
        <w:rPr>
          <w:b/>
          <w:bCs/>
        </w:rPr>
        <w:t xml:space="preserve">mid-single-digit → high-single-digit</w:t>
      </w:r>
    </w:p>
    <w:p>
      <w:pPr>
        <w:pStyle w:val="Compact"/>
        <w:numPr>
          <w:ilvl w:val="0"/>
          <w:numId w:val="1002"/>
        </w:numPr>
      </w:pPr>
      <w:r>
        <w:t xml:space="preserve">Operating leverage:</w:t>
      </w:r>
      <w:r>
        <w:t xml:space="preserve"> </w:t>
      </w:r>
      <w:r>
        <w:rPr>
          <w:b/>
          <w:bCs/>
        </w:rPr>
        <w:t xml:space="preserve">30%+</w:t>
      </w:r>
      <w:r>
        <w:t xml:space="preserve"> </w:t>
      </w:r>
      <w:r>
        <w:t xml:space="preserve">(with management flagging next 12–18 months likely</w:t>
      </w:r>
      <w:r>
        <w:t xml:space="preserve"> </w:t>
      </w:r>
      <w:r>
        <w:rPr>
          <w:i/>
          <w:iCs/>
        </w:rPr>
        <w:t xml:space="preserve">above</w:t>
      </w:r>
      <w:r>
        <w:t xml:space="preserve"> </w:t>
      </w:r>
      <w:r>
        <w:t xml:space="preserve">30% as cost actions land)</w:t>
      </w:r>
    </w:p>
    <w:p>
      <w:pPr>
        <w:pStyle w:val="Compact"/>
        <w:numPr>
          <w:ilvl w:val="0"/>
          <w:numId w:val="1002"/>
        </w:numPr>
      </w:pPr>
      <w:r>
        <w:rPr>
          <w:b/>
          <w:bCs/>
        </w:rPr>
        <w:t xml:space="preserve">Double-digit EPS growth</w:t>
      </w:r>
      <w:r>
        <w:t xml:space="preserve">, 95–100% FCF conversion</w:t>
      </w:r>
    </w:p>
    <w:p>
      <w:pPr>
        <w:pStyle w:val="FirstParagraph"/>
      </w:pPr>
      <w:r>
        <w:t xml:space="preserve">The transformation thesis is Danaher-style: CEO Weidemanis is deploying a proprietary "business system" (Simplify / Accelerate / Amplify) with ~1,400 colleagues engaged, ~1,000 leaders trained, 150+ kaizens across ~20 priority areas. Showcase results included quadrupling a plant's output with little capex and doubling sellers' customer-facing time. This is early ("ignition"), and management repeatedly cautioned P&amp;L impact builds over "the next year and two years" — so expect qualitative progress markers rather than a hard number tomorrow, but it's the key to whether the multiple can re-rate.</w:t>
      </w:r>
    </w:p>
    <w:p>
      <w:r>
        <w:pict>
          <v:rect style="width:0;height:1.5pt" o:hralign="center" o:hrstd="t" o:hr="t"/>
        </w:pict>
      </w:r>
    </w:p>
    <w:bookmarkEnd w:id="14"/>
    <w:bookmarkStart w:id="15" w:name="watch-items--potential-swing-factors"/>
    <w:p>
      <w:pPr>
        <w:pStyle w:val="Heading2"/>
      </w:pPr>
      <w:r>
        <w:t xml:space="preserve">Watch items / potential swing factors</w:t>
      </w:r>
    </w:p>
    <w:p>
      <w:pPr>
        <w:pStyle w:val="Compact"/>
        <w:numPr>
          <w:ilvl w:val="0"/>
          <w:numId w:val="1003"/>
        </w:numPr>
      </w:pPr>
      <w:r>
        <w:rPr>
          <w:b/>
          <w:bCs/>
        </w:rPr>
        <w:t xml:space="preserve">Portfolio actions.</w:t>
      </w:r>
      <w:r>
        <w:t xml:space="preserve"> </w:t>
      </w:r>
      <w:r>
        <w:t xml:space="preserve">There have been press reports of possible asset sales. Management will likely stay coy but framed the portfolio as a "sports team" with offense (Applied) and defense (cash-generative) players, and said it's reviewing with "fresh eyes" to maximize shareholder value. Any announced divestiture would be a needle-mover.</w:t>
      </w:r>
    </w:p>
    <w:p>
      <w:pPr>
        <w:pStyle w:val="Compact"/>
        <w:numPr>
          <w:ilvl w:val="0"/>
          <w:numId w:val="1003"/>
        </w:numPr>
      </w:pPr>
      <w:r>
        <w:rPr>
          <w:b/>
          <w:bCs/>
        </w:rPr>
        <w:t xml:space="preserve">Tax headwind.</w:t>
      </w:r>
      <w:r>
        <w:t xml:space="preserve"> </w:t>
      </w:r>
      <w:r>
        <w:t xml:space="preserve">Adjusted effective tax rate is running</w:t>
      </w:r>
      <w:r>
        <w:t xml:space="preserve"> </w:t>
      </w:r>
      <w:r>
        <w:rPr>
          <w:b/>
          <w:bCs/>
        </w:rPr>
        <w:t xml:space="preserve">~17% in FY26 vs. ~12% in FY25</w:t>
      </w:r>
      <w:r>
        <w:t xml:space="preserve"> </w:t>
      </w:r>
      <w:r>
        <w:t xml:space="preserve">— a real drag partially masking underlying operating growth. Worth watching for any FY26 rate update.</w:t>
      </w:r>
    </w:p>
    <w:p>
      <w:pPr>
        <w:pStyle w:val="Compact"/>
        <w:numPr>
          <w:ilvl w:val="0"/>
          <w:numId w:val="1003"/>
        </w:numPr>
      </w:pPr>
      <w:r>
        <w:rPr>
          <w:b/>
          <w:bCs/>
        </w:rPr>
        <w:t xml:space="preserve">Tariffs / Section 232.</w:t>
      </w:r>
      <w:r>
        <w:t xml:space="preserve"> </w:t>
      </w:r>
      <w:r>
        <w:t xml:space="preserve">Management says impact is minimal (chillers largely excluded) and it can price through — low risk but a possible Q&amp;A topic.</w:t>
      </w:r>
    </w:p>
    <w:p>
      <w:pPr>
        <w:pStyle w:val="Compact"/>
        <w:numPr>
          <w:ilvl w:val="0"/>
          <w:numId w:val="1003"/>
        </w:numPr>
      </w:pPr>
      <w:r>
        <w:rPr>
          <w:b/>
          <w:bCs/>
        </w:rPr>
        <w:t xml:space="preserve">Capital returns / balance sheet.</w:t>
      </w:r>
      <w:r>
        <w:t xml:space="preserve"> </w:t>
      </w:r>
      <w:r>
        <w:t xml:space="preserve">Net debt is 2.0x (within target); JCI paid $244M dividends and repurchased $215M of stock last quarter, and reaffirmed a commitment to return ~100% of FCF. Watch buyback pace and any M&amp;A signaling.</w:t>
      </w:r>
    </w:p>
    <w:p>
      <w:r>
        <w:pict>
          <v:rect style="width:0;height:1.5pt" o:hralign="center" o:hrstd="t" o:hr="t"/>
        </w:pict>
      </w:r>
    </w:p>
    <w:bookmarkEnd w:id="15"/>
    <w:bookmarkStart w:id="17" w:name="stock--sentiment-context"/>
    <w:p>
      <w:pPr>
        <w:pStyle w:val="Heading2"/>
      </w:pPr>
      <w:r>
        <w:t xml:space="preserve">Stock &amp; sentiment context</w:t>
      </w:r>
    </w:p>
    <w:p>
      <w:pPr>
        <w:pStyle w:val="FirstParagraph"/>
      </w:pPr>
      <w:r>
        <w:t xml:space="preserve">JCI has had a strong year — shares are up</w:t>
      </w:r>
      <w:r>
        <w:t xml:space="preserve"> </w:t>
      </w:r>
      <w:r>
        <w:rPr>
          <w:b/>
          <w:bCs/>
        </w:rPr>
        <w:t xml:space="preserve">~15% YTD</w:t>
      </w:r>
      <w:r>
        <w:t xml:space="preserve"> </w:t>
      </w:r>
      <w:r>
        <w:t xml:space="preserve">(roughly $122 →</w:t>
      </w:r>
      <w:r>
        <w:t xml:space="preserve"> </w:t>
      </w:r>
      <m:oMath>
        <m:r>
          <m:t>140</m:t>
        </m:r>
        <m:r>
          <m:rPr>
            <m:sty m:val="p"/>
          </m:rPr>
          <m:t>)</m:t>
        </m:r>
        <m:r>
          <m:rPr>
            <m:sty m:val="p"/>
          </m:rPr>
          <m:t>—</m:t>
        </m:r>
        <m:r>
          <m:t>b</m:t>
        </m:r>
        <m:r>
          <m:t>u</m:t>
        </m:r>
        <m:r>
          <m:t>t</m:t>
        </m:r>
        <m:r>
          <m:t>h</m:t>
        </m:r>
        <m:r>
          <m:t>a</m:t>
        </m:r>
        <m:r>
          <m:t>v</m:t>
        </m:r>
        <m:r>
          <m:t>e</m:t>
        </m:r>
        <m:r>
          <m:rPr>
            <m:sty m:val="p"/>
          </m:rPr>
          <m:t>*</m:t>
        </m:r>
        <m:r>
          <m:rPr>
            <m:sty m:val="p"/>
          </m:rPr>
          <m:t>*</m:t>
        </m:r>
        <m:r>
          <m:t>c</m:t>
        </m:r>
        <m:r>
          <m:t>o</m:t>
        </m:r>
        <m:r>
          <m:t>o</m:t>
        </m:r>
        <m:r>
          <m:t>l</m:t>
        </m:r>
        <m:r>
          <m:t>e</m:t>
        </m:r>
        <m:r>
          <m:t>d</m:t>
        </m:r>
        <m:r>
          <m:t> </m:t>
        </m:r>
        <m:r>
          <m:t>5</m:t>
        </m:r>
      </m:oMath>
      <w:r>
        <w:t xml:space="preserve">148 June peak** and sit ~2% below where they traded on the May 6 Q2 print. That price action suggests the market has largely paid for the data-center/backlog story and the raised algorithm, which raises the bar: an in-line quarter may not be enough, and the reaction will likely hinge on</w:t>
      </w:r>
      <w:r>
        <w:t xml:space="preserve"> </w:t>
      </w:r>
      <w:r>
        <w:rPr>
          <w:b/>
          <w:bCs/>
        </w:rPr>
        <w:t xml:space="preserve">order durability, service/EMEA stabilization, and any full-year guidance raise beyond $4.85</w:t>
      </w:r>
      <w:r>
        <w:t xml:space="preserve"> </w:t>
      </w:r>
      <w:r>
        <w:t xml:space="preserve">rather than the Q3 headline itself.</w:t>
      </w:r>
    </w:p>
    <w:p>
      <w:r>
        <w:pict>
          <v:rect style="width:0;height:1.5pt" o:hralign="center" o:hrstd="t" o:hr="t"/>
        </w:pict>
      </w:r>
    </w:p>
    <w:bookmarkStart w:id="16" w:name="bottom-line"/>
    <w:p>
      <w:pPr>
        <w:pStyle w:val="Heading3"/>
      </w:pPr>
      <w:r>
        <w:t xml:space="preserve">Bottom line</w:t>
      </w:r>
    </w:p>
    <w:p>
      <w:pPr>
        <w:pStyle w:val="FirstParagraph"/>
      </w:pPr>
      <w:r>
        <w:t xml:space="preserve">Expect a headline beat-or-meet quarter driven by data-center backlog conversion, ~6% organic growth, and 20%+ EPS growth against an easy year-ago compare. The signal-vs.-noise questions for the stock are: (1) do orders stay strong or clearly plateau, (2) is the full-year EPS guide raised again, (3) are services and EMEA turning, and (4) any tangible margin/portfolio proof points from the business-system transformation. Given shares have drifted off their highs, the setup rewards evidence that the newly raised high-single-digit / double-digit-EPS algorithm is real — not just the (already expected) strong print.</w:t>
      </w:r>
    </w:p>
    <w:p>
      <w:pPr>
        <w:pStyle w:val="BodyText"/>
      </w:pPr>
      <w:r>
        <w:rPr>
          <w:i/>
          <w:iCs/>
        </w:rPr>
        <w:t xml:space="preserve">Note: All figures are drawn from JCI's fiscal Q2 2026 earnings release/call (May 6, 2026), the fiscal Q3 2025 release (comparison base), the June 1, 2026 Gemba Day investor event, and market pricing through July 28, 2026. As always, forward guidance excludes the divested Residential &amp; Light Commercial HVAC business (discontinued operations).</w:t>
      </w:r>
    </w:p>
    <w:bookmarkEnd w:id="16"/>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2026-07-29T00:21:30Z</dcterms:created>
  <dcterms:modified xsi:type="dcterms:W3CDTF">2026-07-29T00:21:30Z</dcterms:modified>
</cp:coreProperties>
</file>

<file path=docProps/custom.xml><?xml version="1.0" encoding="utf-8"?>
<Properties xmlns="http://schemas.openxmlformats.org/officeDocument/2006/custom-properties" xmlns:vt="http://schemas.openxmlformats.org/officeDocument/2006/docPropsVTypes"/>
</file>