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2e7c6cd3b21c58e45ec49ce3bab94a0139339f6"/>
    <w:p>
      <w:pPr>
        <w:pStyle w:val="Heading1"/>
      </w:pPr>
      <w:r>
        <w:t xml:space="preserve">Johnson Controls International (JCI) — Q3 FY2026 Earnings Preview</w:t>
      </w:r>
    </w:p>
    <w:p>
      <w:pPr>
        <w:pStyle w:val="FirstParagraph"/>
      </w:pPr>
      <w:r>
        <w:rPr>
          <w:b/>
          <w:bCs/>
        </w:rPr>
        <w:t xml:space="preserve">Report Date:</w:t>
      </w:r>
      <w:r>
        <w:t xml:space="preserve"> </w:t>
      </w:r>
      <w:r>
        <w:t xml:space="preserve">Wednesday, July 29, 2026, 8:30 a.m. ET</w:t>
      </w:r>
      <w:r>
        <w:t xml:space="preserve"> </w:t>
      </w:r>
      <w:r>
        <w:rPr>
          <w:b/>
          <w:bCs/>
        </w:rPr>
        <w:t xml:space="preserve">Fiscal Quarter:</w:t>
      </w:r>
      <w:r>
        <w:t xml:space="preserve"> </w:t>
      </w:r>
      <w:r>
        <w:t xml:space="preserve">Third Quarter Fiscal 2026 (quarter ended June 30, 2026)</w:t>
      </w:r>
    </w:p>
    <w:p>
      <w:r>
        <w:pict>
          <v:rect style="width:0;height:1.5pt" o:hralign="center" o:hrstd="t" o:hr="t"/>
        </w:pict>
      </w:r>
    </w:p>
    <w:bookmarkStart w:id="9" w:name="setup-into-the-print"/>
    <w:p>
      <w:pPr>
        <w:pStyle w:val="Heading2"/>
      </w:pPr>
      <w:r>
        <w:t xml:space="preserve">Setup Into the Print</w:t>
      </w:r>
    </w:p>
    <w:p>
      <w:pPr>
        <w:pStyle w:val="FirstParagraph"/>
      </w:pPr>
      <w:r>
        <w:t xml:space="preserve">JCI heads into tomorrow's print on the back of two consecutive strong quarters and a raised full-year outlook. The stock has been range-bound in the</w:t>
      </w:r>
      <w:r>
        <w:t xml:space="preserve"> </w:t>
      </w:r>
      <m:oMath>
        <m:r>
          <m:t>135</m:t>
        </m:r>
        <m:r>
          <m:rPr>
            <m:sty m:val="p"/>
          </m:rPr>
          <m:t>–</m:t>
        </m:r>
      </m:oMath>
      <w:r>
        <w:t xml:space="preserve">148 band since the Q2 report on May 6, closing around $140 the day before this report — essentially flat since the last print despite the guidance raise, suggesting the "beat and raise" narrative is now largely in the price and investors will be scrutinizing the durability of order momentum and margin execution rather than just the headline numbers.</w:t>
      </w:r>
    </w:p>
    <w:bookmarkEnd w:id="9"/>
    <w:bookmarkStart w:id="10" w:name="X002cd6a8470eea3b985d8080cb51341895bc349"/>
    <w:p>
      <w:pPr>
        <w:pStyle w:val="Heading2"/>
      </w:pPr>
      <w:r>
        <w:t xml:space="preserve">What Happened Last Quarter (Q2 FY26) — The Baseline</w:t>
      </w:r>
    </w:p>
    <w:p>
      <w:pPr>
        <w:pStyle w:val="FirstParagraph"/>
      </w:pPr>
      <w:r>
        <w:t xml:space="preserve">Johnson Controls delivered a strong second quarter that beat guidance and led management to raise full-year targets. Q2 sales rose 8% (6% organic) to $6.1 billion, with GAAP EPS of $0.99 and adjusted EPS of $1.19, up 45% year-over-year. Orders were up 30% organically and backlog reached a record $20.0 billion, up 26% organically, with growth led by data-center-driven demand in the Americas (orders +40%) and continued strength in EMEA and APAC order books. Segment margins expanded across all three geographic segments (Americas +100bp to 19.5% adjusted EBITA margin, EMEA +370bp to 14.9%, APAC +350bp to 19.8%), reflecting pricing, productivity, and volume leverage.</w:t>
      </w:r>
    </w:p>
    <w:bookmarkEnd w:id="10"/>
    <w:bookmarkStart w:id="11" w:name="X3bbef1d6e70fc24a235a7d8eeb8e634b3f5e865"/>
    <w:p>
      <w:pPr>
        <w:pStyle w:val="Heading2"/>
      </w:pPr>
      <w:r>
        <w:t xml:space="preserve">Q3 FY26 Guidance — What The Company Is Being Held To</w:t>
      </w:r>
    </w:p>
    <w:p>
      <w:pPr>
        <w:pStyle w:val="FirstParagraph"/>
      </w:pPr>
      <w:r>
        <w:t xml:space="preserve">Management guided Q3 FY26 to</w:t>
      </w:r>
      <w:r>
        <w:t xml:space="preserve"> </w:t>
      </w:r>
      <w:r>
        <w:rPr>
          <w:b/>
          <w:bCs/>
        </w:rPr>
        <w:t xml:space="preserve">organic sales growth of ~6%, adjusted EPS of ~$1.28, and operating leverage of ~45%</w:t>
      </w:r>
      <w:r>
        <w:t xml:space="preserve">. Note: this operating-leverage figure was corrected via an 8-K/A filed May 7 — the original May 6 press release mistakenly stated ~50% operating leverage for Q3, but the company clarified the correct guide is ~45% (full-year operating leverage guidance of ~50% was unchanged). This is a useful detail for investors modeling the beat/miss dynamic, since headline leverage should be compared to the corrected 45% figure, not the erroneous 50%.</w:t>
      </w:r>
    </w:p>
    <w:p>
      <w:pPr>
        <w:pStyle w:val="BodyText"/>
      </w:pPr>
      <w:r>
        <w:t xml:space="preserve">For the</w:t>
      </w:r>
      <w:r>
        <w:t xml:space="preserve"> </w:t>
      </w:r>
      <w:r>
        <w:rPr>
          <w:b/>
          <w:bCs/>
        </w:rPr>
        <w:t xml:space="preserve">full year</w:t>
      </w:r>
      <w:r>
        <w:t xml:space="preserve">, JCI raised guidance to organic sales growth of ~6% (from mid-single-digits), adjusted EPS of ~</w:t>
      </w:r>
      <m:oMath>
        <m:r>
          <m:t>4.85</m:t>
        </m:r>
        <m:r>
          <m:rPr>
            <m:sty m:val="p"/>
          </m:rPr>
          <m:t>(</m:t>
        </m:r>
        <m:r>
          <m:t>f</m:t>
        </m:r>
        <m:r>
          <m:t>r</m:t>
        </m:r>
        <m:r>
          <m:t>o</m:t>
        </m:r>
        <m:r>
          <m:t>m</m:t>
        </m:r>
        <m:r>
          <m:t> </m:t>
        </m:r>
      </m:oMath>
      <w:r>
        <w:t xml:space="preserve">4.70, representing ~30% growth), operating leverage of ~50% (unchanged), and adjusted free cash flow conversion of ~100% (unchanged).</w:t>
      </w:r>
    </w:p>
    <w:bookmarkEnd w:id="11"/>
    <w:bookmarkStart w:id="12" w:name="key-themes-to-watch-in-the-print"/>
    <w:p>
      <w:pPr>
        <w:pStyle w:val="Heading2"/>
      </w:pPr>
      <w:r>
        <w:t xml:space="preserve">Key Themes to Watch in the Print</w:t>
      </w:r>
    </w:p>
    <w:p>
      <w:pPr>
        <w:pStyle w:val="FirstParagraph"/>
      </w:pPr>
      <w:r>
        <w:rPr>
          <w:b/>
          <w:bCs/>
        </w:rPr>
        <w:t xml:space="preserve">1. Data center momentum vs. "plateauing" orders.</w:t>
      </w:r>
      <w:r>
        <w:t xml:space="preserve"> </w:t>
      </w:r>
      <w:r>
        <w:t xml:space="preserve">Orders grew 30% in Q2 after nearly 40% in Q1 — still torrid growth, but management was pressed on whether this represents a plateau. CEO Joakim Weidemanis pushed back, noting the pipeline remains strong and growing at a double-digit rate, and that stability extends beyond data centers into pharma/biologics and advanced manufacturing. Watch for whether Q3 orders sustain a similar growth rate or decelerate further, and commentary on backlog conversion (management indicated ~70% of backlog should convert to revenue over the next 12 months, with the remainder gated by data-center customers' power/electrical infrastructure constraints).</w:t>
      </w:r>
    </w:p>
    <w:p>
      <w:pPr>
        <w:pStyle w:val="BodyText"/>
      </w:pPr>
      <w:r>
        <w:rPr>
          <w:b/>
          <w:bCs/>
        </w:rPr>
        <w:t xml:space="preserve">2. EMEA — Middle East disruption and margin cadence.</w:t>
      </w:r>
      <w:r>
        <w:t xml:space="preserve"> </w:t>
      </w:r>
      <w:r>
        <w:t xml:space="preserve">EMEA organic sales grew just 1% in Q2 as Middle East conflict disruptions and lower service volumes offset systems growth; management noted roughly a third of Middle East business (which is ~10%+ of EMEA revenue) was impacted, and did not expect a full recovery in Q3, hoping for normalization by Q4. CFO Marc Vandiepenbeeck flagged that EMEA margin progression could see "a little bit of pressure in the third quarter and then some recovery in the fourth quarter" — worth checking against actual results.</w:t>
      </w:r>
    </w:p>
    <w:p>
      <w:pPr>
        <w:pStyle w:val="BodyText"/>
      </w:pPr>
      <w:r>
        <w:rPr>
          <w:b/>
          <w:bCs/>
        </w:rPr>
        <w:t xml:space="preserve">3. Service business/security repricing.</w:t>
      </w:r>
      <w:r>
        <w:t xml:space="preserve"> </w:t>
      </w:r>
      <w:r>
        <w:t xml:space="preserve">Service orders were soft in Q2, primarily due to a deliberate rebalancing of price versus volume in the security service business (a less-differentiated part of the portfolio), which management said pressured volume but improved margin. This is a multi-quarter self-inflicted headwind investors should track for continued drag or stabilization.</w:t>
      </w:r>
    </w:p>
    <w:p>
      <w:pPr>
        <w:pStyle w:val="BodyText"/>
      </w:pPr>
      <w:r>
        <w:rPr>
          <w:b/>
          <w:bCs/>
        </w:rPr>
        <w:t xml:space="preserve">4. Americas productivity and capacity ramp.</w:t>
      </w:r>
      <w:r>
        <w:t xml:space="preserve"> </w:t>
      </w:r>
      <w:r>
        <w:t xml:space="preserve">Americas margin improvement in Q2 (+100bp) came almost entirely from volume/leverage, with a productivity headwind tied to ramping new manufacturing capacity built in prior years. Management expects this ramp-related productivity drag to persist through the balance of the year, embedded within the ~50% full-year operating leverage guide.</w:t>
      </w:r>
    </w:p>
    <w:p>
      <w:pPr>
        <w:pStyle w:val="BodyText"/>
      </w:pPr>
      <w:r>
        <w:rPr>
          <w:b/>
          <w:bCs/>
        </w:rPr>
        <w:t xml:space="preserve">5. APAC margin normalization.</w:t>
      </w:r>
      <w:r>
        <w:t xml:space="preserve"> </w:t>
      </w:r>
      <w:r>
        <w:t xml:space="preserve">APAC posted outsized margin gains in Q2 (+350bp) on 13% organic growth, but management guided Q3 APAC growth to be "closer to flat year-on-year" with margins likely closer to flat sequentially, before still delivering full-year margin improvement toward "high 18%" for the segment.</w:t>
      </w:r>
    </w:p>
    <w:p>
      <w:pPr>
        <w:pStyle w:val="BodyText"/>
      </w:pPr>
      <w:r>
        <w:rPr>
          <w:b/>
          <w:bCs/>
        </w:rPr>
        <w:t xml:space="preserve">6. Tariffs/Section 232.</w:t>
      </w:r>
      <w:r>
        <w:t xml:space="preserve"> </w:t>
      </w:r>
      <w:r>
        <w:t xml:space="preserve">Management indicated minimal direct impact from Section 232 tariffs given chillers are largely excluded from that specific tariff category, with any residual exposure manageable via pricing actions — a topic likely to resurface on the call given ongoing trade-policy volatility.</w:t>
      </w:r>
    </w:p>
    <w:p>
      <w:pPr>
        <w:pStyle w:val="BodyText"/>
      </w:pPr>
      <w:r>
        <w:rPr>
          <w:b/>
          <w:bCs/>
        </w:rPr>
        <w:t xml:space="preserve">7. Portfolio review / M&amp;A speculation.</w:t>
      </w:r>
      <w:r>
        <w:t xml:space="preserve"> </w:t>
      </w:r>
      <w:r>
        <w:t xml:space="preserve">Analysts pressed on media reports of potential asset sales; management reiterated a "maximize shareholder value" framework without confirming specifics, describing the portfolio like different positions on a sports team (offense/growth vs. defense/cash generation) and noting ongoing review. Any incremental disclosure here would be a key call takeaway, especially post the July 2025 divestiture of the Residential &amp; Light Commercial HVAC business (now reflected as discontinued operations).</w:t>
      </w:r>
    </w:p>
    <w:p>
      <w:pPr>
        <w:pStyle w:val="BodyText"/>
      </w:pPr>
      <w:r>
        <w:rPr>
          <w:b/>
          <w:bCs/>
        </w:rPr>
        <w:t xml:space="preserve">8. Business System / "Gemba" transformation progress.</w:t>
      </w:r>
      <w:r>
        <w:t xml:space="preserve"> </w:t>
      </w:r>
      <w:r>
        <w:t xml:space="preserve">This remains the central self-help thesis. As of Q2, ~1,400 colleagues were actively engaged and ~1,000 leaders trained on the proprietary Business System, with 150+ completed kaizens across ~20 priority areas. At the June 1 Gemba Day investor event, management showcased concrete productivity proof points — quadrupling capacity at a manufacturing facility with minimal capex, doubling customer-facing selling time, and cutting solution-engineering cycle time by 70% — and used these as the basis for</w:t>
      </w:r>
      <w:r>
        <w:t xml:space="preserve"> </w:t>
      </w:r>
      <w:r>
        <w:rPr>
          <w:b/>
          <w:bCs/>
        </w:rPr>
        <w:t xml:space="preserve">reaffirming/upgrading the long-term algorithm</w:t>
      </w:r>
      <w:r>
        <w:t xml:space="preserve">: shifting the long-term organic growth target from mid-single-digit to high-single-digit, while maintaining a 30%+ operating leverage target (up from the prior algorithm), double-digit EPS growth, and 95–100% free cash flow conversion. Investors should listen for any further quantification of this long-term algorithm on the Q3 call, and evidence that early kaizen wins are scaling beyond pilot sites.</w:t>
      </w:r>
    </w:p>
    <w:p>
      <w:pPr>
        <w:pStyle w:val="BodyText"/>
      </w:pPr>
      <w:r>
        <w:rPr>
          <w:b/>
          <w:bCs/>
        </w:rPr>
        <w:t xml:space="preserve">9. Data center vertical concentration.</w:t>
      </w:r>
      <w:r>
        <w:t xml:space="preserve"> </w:t>
      </w:r>
      <w:r>
        <w:t xml:space="preserve">At Gemba Day, management said data centers were about 12% of FY25 revenue and are expected to grow to roughly one-third of the company within five years, given data-center customer churn/replacement cycles run ~60% faster than traditional end markets. This growing concentration raises both the growth opportunity and the cyclicality/customer-concentration risk profile of the business — a dynamic worth monitoring quarter to quarter.</w:t>
      </w:r>
    </w:p>
    <w:bookmarkEnd w:id="12"/>
    <w:bookmarkStart w:id="13" w:name="Xe522ca33875a3e0385308d100ef80767a850806"/>
    <w:p>
      <w:pPr>
        <w:pStyle w:val="Heading2"/>
      </w:pPr>
      <w:r>
        <w:t xml:space="preserve">Balance Sheet &amp; Cash Flow Context (as of Q2 FY26)</w:t>
      </w:r>
    </w:p>
    <w:p>
      <w:pPr>
        <w:pStyle w:val="FirstParagraph"/>
      </w:pPr>
      <w:r>
        <w:t xml:space="preserve">Net debt stood at $8.8 billion versus $9.5 billion gross debt, with net debt to adjusted EBITDA of 2.0x, within the company's target range and improved from 2.4x a year earlier. Q2 free cash flow was $604 million (adjusted free cash flow $526 million), and the company paid $244 million in dividends and repurchased $215 million of stock in the quarter. Full-year adjusted free cash flow conversion guidance of ~100% implies continued cash discipline is a key deliverable to watch.</w:t>
      </w:r>
    </w:p>
    <w:bookmarkEnd w:id="13"/>
    <w:bookmarkStart w:id="14" w:name="bottom-line-for-investors"/>
    <w:p>
      <w:pPr>
        <w:pStyle w:val="Heading2"/>
      </w:pPr>
      <w:r>
        <w:t xml:space="preserve">Bottom Line for Investors</w:t>
      </w:r>
    </w:p>
    <w:p>
      <w:pPr>
        <w:pStyle w:val="FirstParagraph"/>
      </w:pPr>
      <w:r>
        <w:t xml:space="preserve">Coming into this print, the bar is a "beat-and-hold" quarter: ~6% organic growth, ~$1.28 adjusted EPS, and ~45% operating leverage (per the corrected guidance). Given two straight quarters of order growth above 30% and record backlog, the market's focus is likely to shift from "is demand real" to "can JCI convert backlog and orders into margin-accretive revenue while managing EMEA disruption, security-service repricing, and capacity-ramp productivity headwinds." Confirmation that the Business System transformation is scaling beyond pilot sites — and any incremental color on the newly reaffirmed high-single-digit long-term growth algorithm — could be the more market-moving element of the call relative to the quarter's actual EPS delta.</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2026-07-29T00:22:37Z</dcterms:created>
  <dcterms:modified xsi:type="dcterms:W3CDTF">2026-07-29T00:22:37Z</dcterms:modified>
</cp:coreProperties>
</file>

<file path=docProps/custom.xml><?xml version="1.0" encoding="utf-8"?>
<Properties xmlns="http://schemas.openxmlformats.org/officeDocument/2006/custom-properties" xmlns:vt="http://schemas.openxmlformats.org/officeDocument/2006/docPropsVTypes"/>
</file>