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8d2d21b3d175f20b2a8224652cd08c8b94e7f7e"/>
    <w:p>
      <w:pPr>
        <w:pStyle w:val="Heading1"/>
      </w:pPr>
      <w:r>
        <w:t xml:space="preserve">Johnson Controls (JCI) Fiscal Q3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Johnson Controls’ official schedule lists the fiscal Q3 earnings call for</w:t>
      </w:r>
      <w:r>
        <w:t xml:space="preserve"> </w:t>
      </w:r>
      <w:r>
        <w:rPr>
          <w:b/>
          <w:bCs/>
        </w:rPr>
        <w:t xml:space="preserve">Wednesday, July 29, 2026, at 8:30 a.m. ET—today, not tomorrow</w:t>
      </w:r>
      <w:r>
        <w:t xml:space="preserve">. (</w:t>
      </w:r>
      <w:hyperlink r:id="rId9">
        <w:r>
          <w:rPr>
            <w:rStyle w:val="Hyperlink"/>
          </w:rPr>
          <w:t xml:space="preserve">investors.johnsoncontrols.com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JCI enters the report with unusually strong demand visibility: fiscal Q2 organic orders rose</w:t>
      </w:r>
      <w:r>
        <w:t xml:space="preserve"> </w:t>
      </w:r>
      <w:r>
        <w:rPr>
          <w:b/>
          <w:bCs/>
        </w:rPr>
        <w:t xml:space="preserve">30%</w:t>
      </w:r>
      <w:r>
        <w:t xml:space="preserve">, backlog reached</w:t>
      </w:r>
      <w:r>
        <w:t xml:space="preserve"> </w:t>
      </w:r>
      <w:r>
        <w:rPr>
          <w:b/>
          <w:bCs/>
        </w:rPr>
        <w:t xml:space="preserve">$20.0 billion</w:t>
      </w:r>
      <w:r>
        <w:t xml:space="preserve">, and management subsequently outlined a path toward high-single-digit long-term organic growth at its June “Going to Gemba” event.</w:t>
      </w:r>
    </w:p>
    <w:p>
      <w:pPr>
        <w:pStyle w:val="BodyText"/>
      </w:pPr>
      <w:r>
        <w:t xml:space="preserve">The question is no longer whether AI and data-center spending is helping JCI. It is whether the company can:</w:t>
      </w:r>
    </w:p>
    <w:p>
      <w:pPr>
        <w:pStyle w:val="Compact"/>
        <w:numPr>
          <w:ilvl w:val="0"/>
          <w:numId w:val="1001"/>
        </w:numPr>
      </w:pPr>
      <w:r>
        <w:t xml:space="preserve">Convert its large backlog into revenue fast enough;</w:t>
      </w:r>
    </w:p>
    <w:p>
      <w:pPr>
        <w:pStyle w:val="Compact"/>
        <w:numPr>
          <w:ilvl w:val="0"/>
          <w:numId w:val="1001"/>
        </w:numPr>
      </w:pPr>
      <w:r>
        <w:t xml:space="preserve">Preserve strong incremental margins while expanding manufacturing capacity;</w:t>
      </w:r>
    </w:p>
    <w:p>
      <w:pPr>
        <w:pStyle w:val="Compact"/>
        <w:numPr>
          <w:ilvl w:val="0"/>
          <w:numId w:val="1001"/>
        </w:numPr>
      </w:pPr>
      <w:r>
        <w:t xml:space="preserve">Demonstrate that demand extends beyond a few large data-center projects; and</w:t>
      </w:r>
    </w:p>
    <w:p>
      <w:pPr>
        <w:pStyle w:val="Compact"/>
        <w:numPr>
          <w:ilvl w:val="0"/>
          <w:numId w:val="1001"/>
        </w:numPr>
      </w:pPr>
      <w:r>
        <w:t xml:space="preserve">Raise full-year guidance enough to satisfy elevated expectations.</w:t>
      </w:r>
    </w:p>
    <w:p>
      <w:pPr>
        <w:pStyle w:val="FirstParagraph"/>
      </w:pPr>
      <w:r>
        <w:t xml:space="preserve">A result near management’s prior guidance would be respectable, but probably not sufficient for meaningful upside in the stock. Investors are likely looking for</w:t>
      </w:r>
      <w:r>
        <w:t xml:space="preserve"> </w:t>
      </w:r>
      <w:r>
        <w:rPr>
          <w:b/>
          <w:bCs/>
        </w:rPr>
        <w:t xml:space="preserve">another beat-and-raise, continued double-digit backlog growth, and evidence that operating leverage remains durable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2" w:name="headline-expectations"/>
    <w:p>
      <w:pPr>
        <w:pStyle w:val="Heading2"/>
      </w:pPr>
      <w:r>
        <w:t xml:space="preserve">Headline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Prior management outlook / market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Relevant comparison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Management:</w:t>
            </w:r>
            <w:r>
              <w:t xml:space="preserve"> </w:t>
            </w:r>
            <w:r>
              <w:rPr>
                <w:b/>
                <w:bCs/>
              </w:rPr>
              <w:t xml:space="preserve">~6%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 in fiscal Q2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Consensus around</w:t>
            </w:r>
            <w:r>
              <w:t xml:space="preserve"> </w:t>
            </w:r>
            <w:r>
              <w:rPr>
                <w:b/>
                <w:bCs/>
              </w:rPr>
              <w:t xml:space="preserve">$6.46B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$6.05B in Q3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Management:</w:t>
            </w:r>
            <w:r>
              <w:t xml:space="preserve"> </w:t>
            </w:r>
            <w:r>
              <w:rPr>
                <w:b/>
                <w:bCs/>
              </w:rPr>
              <w:t xml:space="preserve">~</w:t>
            </w:r>
            <m:oMath>
              <m:r>
                <m:t>1.28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;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</m:oMath>
            <w:r>
              <w:rPr>
                <w:b/>
                <w:bCs/>
              </w:rPr>
              <w:t xml:space="preserve">1.30–$1.32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$1.05 in Q3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leverage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Management:</w:t>
            </w:r>
            <w:r>
              <w:t xml:space="preserve"> </w:t>
            </w:r>
            <w:r>
              <w:rPr>
                <w:b/>
                <w:bCs/>
              </w:rPr>
              <w:t xml:space="preserve">~45%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FY26 guide: ~50%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Management:</w:t>
            </w:r>
            <w:r>
              <w:t xml:space="preserve"> </w:t>
            </w:r>
            <w:r>
              <w:rPr>
                <w:b/>
                <w:bCs/>
              </w:rPr>
              <w:t xml:space="preserve">~$4.85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roughly $4.90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Raised from mid-single digits last quarter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FCF conversion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75% through fiscal H1</w:t>
            </w:r>
          </w:p>
        </w:tc>
      </w:tr>
    </w:tbl>
    <w:p>
      <w:pPr>
        <w:pStyle w:val="BodyText"/>
      </w:pPr>
      <w:r>
        <w:t xml:space="preserve">Consensus sources vary modestly, with estimates around</w:t>
      </w:r>
      <w:r>
        <w:t xml:space="preserve"> </w:t>
      </w:r>
      <m:oMath>
        <m:r>
          <m:t>1.30</m:t>
        </m:r>
        <m:r>
          <m:rPr>
            <m:sty m:val="p"/>
          </m:rPr>
          <m:t>–</m:t>
        </m:r>
      </m:oMath>
      <w:r>
        <w:t xml:space="preserve">1.32 in adjusted EPS and approximately $6.46 billion of revenue. (</w:t>
      </w:r>
      <w:hyperlink r:id="rId11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pPr>
        <w:pStyle w:val="BodyText"/>
      </w:pPr>
      <w:r>
        <w:t xml:space="preserve">The revenue estimate implies approximately</w:t>
      </w:r>
      <w:r>
        <w:t xml:space="preserve"> </w:t>
      </w:r>
      <w:r>
        <w:rPr>
          <w:b/>
          <w:bCs/>
        </w:rPr>
        <w:t xml:space="preserve">7% reported growth</w:t>
      </w:r>
      <w:r>
        <w:t xml:space="preserve">, while the EPS estimate implies roughly</w:t>
      </w:r>
      <w:r>
        <w:t xml:space="preserve"> </w:t>
      </w:r>
      <w:r>
        <w:rPr>
          <w:b/>
          <w:bCs/>
        </w:rPr>
        <w:t xml:space="preserve">24% adjusted EPS growth</w:t>
      </w:r>
      <w:r>
        <w:t xml:space="preserve">. That is a demanding but achievable hurdle given JCI’s backlog, margin momentum and lower share count.</w:t>
      </w:r>
    </w:p>
    <w:p>
      <w:r>
        <w:pict>
          <v:rect style="width:0;height:1.5pt" o:hralign="center" o:hrstd="t" o:hr="t"/>
        </w:pict>
      </w:r>
    </w:p>
    <w:bookmarkEnd w:id="12"/>
    <w:bookmarkStart w:id="18" w:name="the-five-issues-that-matter-most"/>
    <w:p>
      <w:pPr>
        <w:pStyle w:val="Heading2"/>
      </w:pPr>
      <w:r>
        <w:t xml:space="preserve">The five issues that matter most</w:t>
      </w:r>
    </w:p>
    <w:bookmarkStart w:id="13" w:name="X06cd4433ba73bcab9360b573f91e1622f93dbd8"/>
    <w:p>
      <w:pPr>
        <w:pStyle w:val="Heading3"/>
      </w:pPr>
      <w:r>
        <w:t xml:space="preserve">1. Orders and backlog quality</w:t>
      </w:r>
    </w:p>
    <w:p>
      <w:pPr>
        <w:pStyle w:val="FirstParagraph"/>
      </w:pPr>
      <w:r>
        <w:t xml:space="preserve">Fiscal Q2 was exceptionally strong:</w:t>
      </w:r>
    </w:p>
    <w:p>
      <w:pPr>
        <w:pStyle w:val="Compact"/>
        <w:numPr>
          <w:ilvl w:val="0"/>
          <w:numId w:val="1002"/>
        </w:numPr>
      </w:pPr>
      <w:r>
        <w:t xml:space="preserve">Organic orders:</w:t>
      </w:r>
      <w:r>
        <w:t xml:space="preserve"> </w:t>
      </w:r>
      <w:r>
        <w:rPr>
          <w:b/>
          <w:bCs/>
        </w:rPr>
        <w:t xml:space="preserve">+30%</w:t>
      </w:r>
    </w:p>
    <w:p>
      <w:pPr>
        <w:pStyle w:val="Compact"/>
        <w:numPr>
          <w:ilvl w:val="0"/>
          <w:numId w:val="1002"/>
        </w:numPr>
      </w:pPr>
      <w:r>
        <w:t xml:space="preserve">Americas orders:</w:t>
      </w:r>
      <w:r>
        <w:t xml:space="preserve"> </w:t>
      </w:r>
      <w:r>
        <w:rPr>
          <w:b/>
          <w:bCs/>
        </w:rPr>
        <w:t xml:space="preserve">+40%</w:t>
      </w:r>
    </w:p>
    <w:p>
      <w:pPr>
        <w:pStyle w:val="Compact"/>
        <w:numPr>
          <w:ilvl w:val="0"/>
          <w:numId w:val="1002"/>
        </w:numPr>
      </w:pPr>
      <w:r>
        <w:t xml:space="preserve">Total backlog:</w:t>
      </w:r>
      <w:r>
        <w:t xml:space="preserve"> </w:t>
      </w:r>
      <w:r>
        <w:rPr>
          <w:b/>
          <w:bCs/>
        </w:rPr>
        <w:t xml:space="preserve">$20.0B, +26% organically</w:t>
      </w:r>
    </w:p>
    <w:p>
      <w:pPr>
        <w:pStyle w:val="Compact"/>
        <w:numPr>
          <w:ilvl w:val="0"/>
          <w:numId w:val="1002"/>
        </w:numPr>
      </w:pPr>
      <w:r>
        <w:t xml:space="preserve">Americas backlog:</w:t>
      </w:r>
      <w:r>
        <w:t xml:space="preserve"> </w:t>
      </w:r>
      <w:r>
        <w:rPr>
          <w:b/>
          <w:bCs/>
        </w:rPr>
        <w:t xml:space="preserve">$14.9B, +32%</w:t>
      </w:r>
    </w:p>
    <w:p>
      <w:pPr>
        <w:pStyle w:val="FirstParagraph"/>
      </w:pPr>
      <w:r>
        <w:t xml:space="preserve">Data centers drove much of the acceleration, with systems orders in the Americas up nearly 60%. Management also said its opportunity pipeline continued to grow at a double-digit rate.</w:t>
      </w:r>
    </w:p>
    <w:p>
      <w:pPr>
        <w:pStyle w:val="BodyText"/>
      </w:pPr>
      <w:r>
        <w:t xml:space="preserve">Investors should not require another 30% order quarter. The comparison is less important than the following:</w:t>
      </w:r>
    </w:p>
    <w:p>
      <w:pPr>
        <w:pStyle w:val="Compact"/>
        <w:numPr>
          <w:ilvl w:val="0"/>
          <w:numId w:val="1003"/>
        </w:numPr>
      </w:pPr>
      <w:r>
        <w:t xml:space="preserve">Does order growth remain comfortably positive?</w:t>
      </w:r>
    </w:p>
    <w:p>
      <w:pPr>
        <w:pStyle w:val="Compact"/>
        <w:numPr>
          <w:ilvl w:val="0"/>
          <w:numId w:val="1003"/>
        </w:numPr>
      </w:pPr>
      <w:r>
        <w:t xml:space="preserve">Does backlog continue to grow after the Q2 surge?</w:t>
      </w:r>
    </w:p>
    <w:p>
      <w:pPr>
        <w:pStyle w:val="Compact"/>
        <w:numPr>
          <w:ilvl w:val="0"/>
          <w:numId w:val="1003"/>
        </w:numPr>
      </w:pPr>
      <w:r>
        <w:t xml:space="preserve">Are orders broadening into controls, fire systems and services?</w:t>
      </w:r>
    </w:p>
    <w:p>
      <w:pPr>
        <w:pStyle w:val="Compact"/>
        <w:numPr>
          <w:ilvl w:val="0"/>
          <w:numId w:val="1003"/>
        </w:numPr>
      </w:pPr>
      <w:r>
        <w:t xml:space="preserve">Is the company maintaining pricing and contract discipline?</w:t>
      </w:r>
    </w:p>
    <w:p>
      <w:pPr>
        <w:pStyle w:val="Compact"/>
        <w:numPr>
          <w:ilvl w:val="0"/>
          <w:numId w:val="1003"/>
        </w:numPr>
      </w:pPr>
      <w:r>
        <w:t xml:space="preserve">Are data-center customers delaying delivery because of power availability?</w:t>
      </w:r>
    </w:p>
    <w:p>
      <w:pPr>
        <w:pStyle w:val="FirstParagraph"/>
      </w:pPr>
      <w:r>
        <w:t xml:space="preserve">Management previously estimated that roughly</w:t>
      </w:r>
      <w:r>
        <w:t xml:space="preserve"> </w:t>
      </w:r>
      <w:r>
        <w:rPr>
          <w:b/>
          <w:bCs/>
        </w:rPr>
        <w:t xml:space="preserve">70% of backlog could convert to revenue within 12 months</w:t>
      </w:r>
      <w:r>
        <w:t xml:space="preserve">. A deterioration in that figure would raise questions about whether headline backlog growth is overstating near-term revenue visibility.</w:t>
      </w:r>
    </w:p>
    <w:p>
      <w:pPr>
        <w:pStyle w:val="BodyText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Orders remain double-digit positive, backlog expands and management reiterates that capacity—not demand—is the primary constraint.</w:t>
      </w:r>
    </w:p>
    <w:p>
      <w:pPr>
        <w:pStyle w:val="BodyText"/>
      </w:pPr>
      <w:r>
        <w:rPr>
          <w:b/>
          <w:bCs/>
        </w:rPr>
        <w:t xml:space="preserve">Risk:</w:t>
      </w:r>
      <w:r>
        <w:t xml:space="preserve"> </w:t>
      </w:r>
      <w:r>
        <w:t xml:space="preserve">Orders normalize sharply or more backlog shifts beyond 12 months because data-center customers cannot obtain electrical infrastructure.</w:t>
      </w:r>
    </w:p>
    <w:p>
      <w:r>
        <w:pict>
          <v:rect style="width:0;height:1.5pt" o:hralign="center" o:hrstd="t" o:hr="t"/>
        </w:pict>
      </w:r>
    </w:p>
    <w:bookmarkEnd w:id="13"/>
    <w:bookmarkStart w:id="14" w:name="X2024b374959d361bc3df0bbb7f777e3d6e7a8f9"/>
    <w:p>
      <w:pPr>
        <w:pStyle w:val="Heading3"/>
      </w:pPr>
      <w:r>
        <w:t xml:space="preserve">2. Backlog conversion and operating leverage</w:t>
      </w:r>
    </w:p>
    <w:p>
      <w:pPr>
        <w:pStyle w:val="FirstParagraph"/>
      </w:pPr>
      <w:r>
        <w:t xml:space="preserve">Management guided to approximately 6% organic growth and 45% operating leverage in Q3. That implies another quarter of meaningful margin expansion, but with less sequential margin improvement than JCI historically produces in the June quarter.</w:t>
      </w:r>
    </w:p>
    <w:p>
      <w:pPr>
        <w:pStyle w:val="BodyText"/>
      </w:pPr>
      <w:r>
        <w:t xml:space="preserve">There are several moving pieces: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Americas:</w:t>
      </w:r>
      <w:r>
        <w:t xml:space="preserve"> </w:t>
      </w:r>
      <w:r>
        <w:t xml:space="preserve">Higher volume and pricing should help, but factory expansion and workforce training are creating temporary productivity inefficiencies.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EMEA:</w:t>
      </w:r>
      <w:r>
        <w:t xml:space="preserve"> </w:t>
      </w:r>
      <w:r>
        <w:t xml:space="preserve">Management warned that Q3 margin progression could slow, partly because of Middle East disruption.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APAC:</w:t>
      </w:r>
      <w:r>
        <w:t xml:space="preserve"> </w:t>
      </w:r>
      <w:r>
        <w:t xml:space="preserve">Revenue growth was expected to moderate toward mid-single digits, limiting the unusually strong volume leverage seen in Q2.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Corporate costs:</w:t>
      </w:r>
      <w:r>
        <w:t xml:space="preserve"> </w:t>
      </w:r>
      <w:r>
        <w:t xml:space="preserve">Stranded-cost reduction following portfolio divestitures remains an EPS tailwind.</w:t>
      </w:r>
    </w:p>
    <w:p>
      <w:pPr>
        <w:pStyle w:val="FirstParagraph"/>
      </w:pPr>
      <w:r>
        <w:t xml:space="preserve">The June investor event strengthened the medium-term margin case. Management highlighted examples of quadrupling production at one plant, cutting inventory, shortening engineering cycle times and doubling customer-facing sales hours without proportionate additions to labor or capital.</w:t>
      </w:r>
    </w:p>
    <w:p>
      <w:pPr>
        <w:pStyle w:val="BodyText"/>
      </w:pPr>
      <w:r>
        <w:t xml:space="preserve">The immediate test is whether those examples are beginning to matter at the consolidated level.</w:t>
      </w:r>
    </w:p>
    <w:p>
      <w:pPr>
        <w:pStyle w:val="BodyText"/>
      </w:pPr>
      <w:r>
        <w:rPr>
          <w:b/>
          <w:bCs/>
        </w:rPr>
        <w:t xml:space="preserve">Key number:</w:t>
      </w:r>
      <w:r>
        <w:t xml:space="preserve"> </w:t>
      </w:r>
      <w:r>
        <w:t xml:space="preserve">Operating leverage at or above</w:t>
      </w:r>
      <w:r>
        <w:t xml:space="preserve"> </w:t>
      </w:r>
      <w:r>
        <w:rPr>
          <w:b/>
          <w:bCs/>
        </w:rPr>
        <w:t xml:space="preserve">45%</w:t>
      </w:r>
      <w:r>
        <w:t xml:space="preserve"> </w:t>
      </w:r>
      <w:r>
        <w:t xml:space="preserve">would support the thesis. A result materially below 40%, particularly with 6% organic growth, would call the pace of productivity improvement into question.</w:t>
      </w:r>
    </w:p>
    <w:p>
      <w:r>
        <w:pict>
          <v:rect style="width:0;height:1.5pt" o:hralign="center" o:hrstd="t" o:hr="t"/>
        </w:pict>
      </w:r>
    </w:p>
    <w:bookmarkEnd w:id="14"/>
    <w:bookmarkStart w:id="15" w:name="X32d87886f76d742609128a6e4136fe6beb29c07"/>
    <w:p>
      <w:pPr>
        <w:pStyle w:val="Heading3"/>
      </w:pPr>
      <w:r>
        <w:t xml:space="preserve">3. Data-center content and execution</w:t>
      </w:r>
    </w:p>
    <w:p>
      <w:pPr>
        <w:pStyle w:val="FirstParagraph"/>
      </w:pPr>
      <w:r>
        <w:t xml:space="preserve">Data centers represented approximately</w:t>
      </w:r>
      <w:r>
        <w:t xml:space="preserve"> </w:t>
      </w:r>
      <w:r>
        <w:rPr>
          <w:b/>
          <w:bCs/>
        </w:rPr>
        <w:t xml:space="preserve">12% of JCI’s fiscal 2025 revenue</w:t>
      </w:r>
      <w:r>
        <w:t xml:space="preserve">. Management believes they could approach one-third of company revenue within five years.</w:t>
      </w:r>
    </w:p>
    <w:p>
      <w:pPr>
        <w:pStyle w:val="BodyText"/>
      </w:pPr>
      <w:r>
        <w:t xml:space="preserve">JCI’s opportunity is expanding beyond chillers into:</w:t>
      </w:r>
    </w:p>
    <w:p>
      <w:pPr>
        <w:pStyle w:val="Compact"/>
        <w:numPr>
          <w:ilvl w:val="0"/>
          <w:numId w:val="1005"/>
        </w:numPr>
      </w:pPr>
      <w:r>
        <w:t xml:space="preserve">Silent-Aire air-handling equipment;</w:t>
      </w:r>
    </w:p>
    <w:p>
      <w:pPr>
        <w:pStyle w:val="Compact"/>
        <w:numPr>
          <w:ilvl w:val="0"/>
          <w:numId w:val="1005"/>
        </w:numPr>
      </w:pPr>
      <w:r>
        <w:t xml:space="preserve">Coolant distribution units, or CDUs;</w:t>
      </w:r>
    </w:p>
    <w:p>
      <w:pPr>
        <w:pStyle w:val="Compact"/>
        <w:numPr>
          <w:ilvl w:val="0"/>
          <w:numId w:val="1005"/>
        </w:numPr>
      </w:pPr>
      <w:r>
        <w:t xml:space="preserve">Controls;</w:t>
      </w:r>
    </w:p>
    <w:p>
      <w:pPr>
        <w:pStyle w:val="Compact"/>
        <w:numPr>
          <w:ilvl w:val="0"/>
          <w:numId w:val="1005"/>
        </w:numPr>
      </w:pPr>
      <w:r>
        <w:t xml:space="preserve">Fire detection and suppression;</w:t>
      </w:r>
    </w:p>
    <w:p>
      <w:pPr>
        <w:pStyle w:val="Compact"/>
        <w:numPr>
          <w:ilvl w:val="0"/>
          <w:numId w:val="1005"/>
        </w:numPr>
      </w:pPr>
      <w:r>
        <w:t xml:space="preserve">Lifecycle services; and</w:t>
      </w:r>
    </w:p>
    <w:p>
      <w:pPr>
        <w:pStyle w:val="Compact"/>
        <w:numPr>
          <w:ilvl w:val="0"/>
          <w:numId w:val="1005"/>
        </w:numPr>
      </w:pPr>
      <w:r>
        <w:t xml:space="preserve">Eventually, differentiated cold-plate and heat-transfer technology.</w:t>
      </w:r>
    </w:p>
    <w:p>
      <w:pPr>
        <w:pStyle w:val="FirstParagraph"/>
      </w:pPr>
      <w:r>
        <w:t xml:space="preserve">Management previously expected approximately</w:t>
      </w:r>
      <w:r>
        <w:t xml:space="preserve"> </w:t>
      </w:r>
      <w:r>
        <w:rPr>
          <w:b/>
          <w:bCs/>
        </w:rPr>
        <w:t xml:space="preserve">$100 million of CDU revenue in fiscal 2026</w:t>
      </w:r>
      <w:r>
        <w:t xml:space="preserve">, supported by a pipeline measured in the hundreds of millions. Investors should listen for an update on that ramp and the customer qualification process.</w:t>
      </w:r>
    </w:p>
    <w:p>
      <w:pPr>
        <w:pStyle w:val="BodyText"/>
      </w:pPr>
      <w:r>
        <w:t xml:space="preserve">Important questions include:</w:t>
      </w:r>
    </w:p>
    <w:p>
      <w:pPr>
        <w:pStyle w:val="Compact"/>
        <w:numPr>
          <w:ilvl w:val="0"/>
          <w:numId w:val="1006"/>
        </w:numPr>
      </w:pPr>
      <w:r>
        <w:t xml:space="preserve">Is JCI gaining content per megawatt as liquid cooling becomes more prevalent?</w:t>
      </w:r>
    </w:p>
    <w:p>
      <w:pPr>
        <w:pStyle w:val="Compact"/>
        <w:numPr>
          <w:ilvl w:val="0"/>
          <w:numId w:val="1006"/>
        </w:numPr>
      </w:pPr>
      <w:r>
        <w:t xml:space="preserve">Are air-handling orders holding up despite direct-to-chip cooling?</w:t>
      </w:r>
    </w:p>
    <w:p>
      <w:pPr>
        <w:pStyle w:val="Compact"/>
        <w:numPr>
          <w:ilvl w:val="0"/>
          <w:numId w:val="1006"/>
        </w:numPr>
      </w:pPr>
      <w:r>
        <w:t xml:space="preserve">Is CDU revenue still on track?</w:t>
      </w:r>
    </w:p>
    <w:p>
      <w:pPr>
        <w:pStyle w:val="Compact"/>
        <w:numPr>
          <w:ilvl w:val="0"/>
          <w:numId w:val="1006"/>
        </w:numPr>
      </w:pPr>
      <w:r>
        <w:t xml:space="preserve">Are newer data-center products carrying attractive margins?</w:t>
      </w:r>
    </w:p>
    <w:p>
      <w:pPr>
        <w:pStyle w:val="Compact"/>
        <w:numPr>
          <w:ilvl w:val="0"/>
          <w:numId w:val="1006"/>
        </w:numPr>
      </w:pPr>
      <w:r>
        <w:t xml:space="preserve">How much of the backlog is concentrated among a small number of hyperscale customers?</w:t>
      </w:r>
    </w:p>
    <w:p>
      <w:pPr>
        <w:pStyle w:val="FirstParagraph"/>
      </w:pPr>
      <w:r>
        <w:t xml:space="preserve">A particularly constructive signal would be data-center strength spreading from HVAC into controls, fire and service. That would support management’s claim that JCI can sell an integrated thermal and mission-critical infrastructure solution rather than isolated equipment.</w:t>
      </w:r>
    </w:p>
    <w:p>
      <w:r>
        <w:pict>
          <v:rect style="width:0;height:1.5pt" o:hralign="center" o:hrstd="t" o:hr="t"/>
        </w:pict>
      </w:r>
    </w:p>
    <w:bookmarkEnd w:id="15"/>
    <w:bookmarkStart w:id="16" w:name="Xaf9d5c94a090fa52bdacd5b25f6f98019d1b52d"/>
    <w:p>
      <w:pPr>
        <w:pStyle w:val="Heading3"/>
      </w:pPr>
      <w:r>
        <w:t xml:space="preserve">4. Service growth</w:t>
      </w:r>
    </w:p>
    <w:p>
      <w:pPr>
        <w:pStyle w:val="FirstParagraph"/>
      </w:pPr>
      <w:r>
        <w:t xml:space="preserve">Service accounts for approximately one-third of revenue and is central to the quality of the long-term earnings story. It is recurring, generally attractive-margin and creates a relationship that can extend across a building system’s life.</w:t>
      </w:r>
    </w:p>
    <w:p>
      <w:pPr>
        <w:pStyle w:val="BodyText"/>
      </w:pPr>
      <w:r>
        <w:t xml:space="preserve">Fiscal Q2 service revenue grew</w:t>
      </w:r>
      <w:r>
        <w:t xml:space="preserve"> </w:t>
      </w:r>
      <w:r>
        <w:rPr>
          <w:b/>
          <w:bCs/>
        </w:rPr>
        <w:t xml:space="preserve">6% organically</w:t>
      </w:r>
      <w:r>
        <w:t xml:space="preserve">, but the composition was mixed:</w:t>
      </w:r>
    </w:p>
    <w:p>
      <w:pPr>
        <w:pStyle w:val="Compact"/>
        <w:numPr>
          <w:ilvl w:val="0"/>
          <w:numId w:val="1007"/>
        </w:numPr>
      </w:pPr>
      <w:r>
        <w:t xml:space="preserve">Americas service: approximately</w:t>
      </w:r>
      <w:r>
        <w:t xml:space="preserve"> </w:t>
      </w:r>
      <w:r>
        <w:rPr>
          <w:b/>
          <w:bCs/>
        </w:rPr>
        <w:t xml:space="preserve">+10% organic</w:t>
      </w:r>
    </w:p>
    <w:p>
      <w:pPr>
        <w:pStyle w:val="Compact"/>
        <w:numPr>
          <w:ilvl w:val="0"/>
          <w:numId w:val="1007"/>
        </w:numPr>
      </w:pPr>
      <w:r>
        <w:t xml:space="preserve">EMEA service: approximately</w:t>
      </w:r>
      <w:r>
        <w:t xml:space="preserve"> </w:t>
      </w:r>
      <w:r>
        <w:rPr>
          <w:b/>
          <w:bCs/>
        </w:rPr>
        <w:t xml:space="preserve">-1%</w:t>
      </w:r>
    </w:p>
    <w:p>
      <w:pPr>
        <w:pStyle w:val="Compact"/>
        <w:numPr>
          <w:ilvl w:val="0"/>
          <w:numId w:val="1007"/>
        </w:numPr>
      </w:pPr>
      <w:r>
        <w:t xml:space="preserve">Security service was weak as management rebalanced price versus volume.</w:t>
      </w:r>
    </w:p>
    <w:p>
      <w:pPr>
        <w:pStyle w:val="FirstParagraph"/>
      </w:pPr>
      <w:r>
        <w:t xml:space="preserve">Management has described service orders as softer than equipment and systems orders. It is also attempting to improve service-attachment rates immediately after new equipment is commissioned.</w:t>
      </w:r>
    </w:p>
    <w:p>
      <w:pPr>
        <w:pStyle w:val="BodyText"/>
      </w:pPr>
      <w:r>
        <w:t xml:space="preserve">Investors should watch for:</w:t>
      </w:r>
    </w:p>
    <w:p>
      <w:pPr>
        <w:pStyle w:val="Compact"/>
        <w:numPr>
          <w:ilvl w:val="0"/>
          <w:numId w:val="1008"/>
        </w:numPr>
      </w:pPr>
      <w:r>
        <w:t xml:space="preserve">Reacceleration in service orders;</w:t>
      </w:r>
    </w:p>
    <w:p>
      <w:pPr>
        <w:pStyle w:val="Compact"/>
        <w:numPr>
          <w:ilvl w:val="0"/>
          <w:numId w:val="1008"/>
        </w:numPr>
      </w:pPr>
      <w:r>
        <w:t xml:space="preserve">Continued double-digit Americas service growth;</w:t>
      </w:r>
    </w:p>
    <w:p>
      <w:pPr>
        <w:pStyle w:val="Compact"/>
        <w:numPr>
          <w:ilvl w:val="0"/>
          <w:numId w:val="1008"/>
        </w:numPr>
      </w:pPr>
      <w:r>
        <w:t xml:space="preserve">Improvement in security-service pricing and retention;</w:t>
      </w:r>
    </w:p>
    <w:p>
      <w:pPr>
        <w:pStyle w:val="Compact"/>
        <w:numPr>
          <w:ilvl w:val="0"/>
          <w:numId w:val="1008"/>
        </w:numPr>
      </w:pPr>
      <w:r>
        <w:t xml:space="preserve">Higher attachment rates on data-center installations; and</w:t>
      </w:r>
    </w:p>
    <w:p>
      <w:pPr>
        <w:pStyle w:val="Compact"/>
        <w:numPr>
          <w:ilvl w:val="0"/>
          <w:numId w:val="1008"/>
        </w:numPr>
      </w:pPr>
      <w:r>
        <w:t xml:space="preserve">Evidence that field productivity is improving without hurting customer response times.</w:t>
      </w:r>
    </w:p>
    <w:p>
      <w:pPr>
        <w:pStyle w:val="FirstParagraph"/>
      </w:pPr>
      <w:r>
        <w:t xml:space="preserve">Strong equipment growth without corresponding service attachment would leave a meaningful part of the economic opportunity unrealized.</w:t>
      </w:r>
    </w:p>
    <w:p>
      <w:r>
        <w:pict>
          <v:rect style="width:0;height:1.5pt" o:hralign="center" o:hrstd="t" o:hr="t"/>
        </w:pict>
      </w:r>
    </w:p>
    <w:bookmarkEnd w:id="16"/>
    <w:bookmarkStart w:id="17" w:name="X90c5f7632fe5d76f3f70910ad970501f8041c5e"/>
    <w:p>
      <w:pPr>
        <w:pStyle w:val="Heading3"/>
      </w:pPr>
      <w:r>
        <w:t xml:space="preserve">5. Full-year guidance and cash conversion</w:t>
      </w:r>
    </w:p>
    <w:p>
      <w:pPr>
        <w:pStyle w:val="FirstParagraph"/>
      </w:pPr>
      <w:r>
        <w:t xml:space="preserve">The fiscal Q2 guide called for:</w:t>
      </w:r>
    </w:p>
    <w:p>
      <w:pPr>
        <w:pStyle w:val="Compact"/>
        <w:numPr>
          <w:ilvl w:val="0"/>
          <w:numId w:val="1009"/>
        </w:numPr>
      </w:pPr>
      <w:r>
        <w:t xml:space="preserve">Organic growth of approximately</w:t>
      </w:r>
      <w:r>
        <w:t xml:space="preserve"> </w:t>
      </w:r>
      <w:r>
        <w:rPr>
          <w:b/>
          <w:bCs/>
        </w:rPr>
        <w:t xml:space="preserve">6%</w:t>
      </w:r>
    </w:p>
    <w:p>
      <w:pPr>
        <w:pStyle w:val="Compact"/>
        <w:numPr>
          <w:ilvl w:val="0"/>
          <w:numId w:val="1009"/>
        </w:numPr>
      </w:pPr>
      <w:r>
        <w:t xml:space="preserve">Operating leverage of approximately</w:t>
      </w:r>
      <w:r>
        <w:t xml:space="preserve"> </w:t>
      </w:r>
      <w:r>
        <w:rPr>
          <w:b/>
          <w:bCs/>
        </w:rPr>
        <w:t xml:space="preserve">50%</w:t>
      </w:r>
    </w:p>
    <w:p>
      <w:pPr>
        <w:pStyle w:val="Compact"/>
        <w:numPr>
          <w:ilvl w:val="0"/>
          <w:numId w:val="1009"/>
        </w:numPr>
      </w:pPr>
      <w:r>
        <w:t xml:space="preserve">Adjusted EPS of approximately</w:t>
      </w:r>
      <w:r>
        <w:t xml:space="preserve"> </w:t>
      </w:r>
      <w:r>
        <w:rPr>
          <w:b/>
          <w:bCs/>
        </w:rPr>
        <w:t xml:space="preserve">$4.85</w:t>
      </w:r>
    </w:p>
    <w:p>
      <w:pPr>
        <w:pStyle w:val="Compact"/>
        <w:numPr>
          <w:ilvl w:val="0"/>
          <w:numId w:val="1009"/>
        </w:numPr>
      </w:pPr>
      <w:r>
        <w:t xml:space="preserve">Adjusted free-cash-flow conversion of approximately</w:t>
      </w:r>
      <w:r>
        <w:t xml:space="preserve"> </w:t>
      </w:r>
      <w:r>
        <w:rPr>
          <w:b/>
          <w:bCs/>
        </w:rPr>
        <w:t xml:space="preserve">100%</w:t>
      </w:r>
    </w:p>
    <w:p>
      <w:pPr>
        <w:pStyle w:val="FirstParagraph"/>
      </w:pPr>
      <w:r>
        <w:t xml:space="preserve">JCI delivered $2.08 of adjusted EPS in the first half. Adding the prior Q3 guide of $1.28 produces</w:t>
      </w:r>
      <w:r>
        <w:t xml:space="preserve"> </w:t>
      </w:r>
      <m:oMath>
        <m:r>
          <m:t>3.36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n</m:t>
        </m:r>
        <m:r>
          <m:t>i</m:t>
        </m:r>
        <m:r>
          <m:t>n</m:t>
        </m:r>
        <m:r>
          <m:t>e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rPr>
            <m:sty m:val="p"/>
          </m:rPr>
          <m:t>,</m:t>
        </m:r>
        <m:r>
          <m:t>l</m:t>
        </m:r>
        <m:r>
          <m:t>e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1.49** required in Q4 to reach the $4.85 full-year target.</w:t>
      </w:r>
    </w:p>
    <w:p>
      <w:pPr>
        <w:pStyle w:val="BodyText"/>
      </w:pPr>
      <w:r>
        <w:t xml:space="preserve">That suggests the current guidance is achievable. The more important issue is whether management raises it.</w:t>
      </w:r>
    </w:p>
    <w:p>
      <w:pPr>
        <w:pStyle w:val="BodyText"/>
      </w:pPr>
      <w:r>
        <w:t xml:space="preserve">With consensus near $4.90, merely maintaining</w:t>
      </w:r>
      <w:r>
        <w:t xml:space="preserve"> </w:t>
      </w:r>
      <m:oMath>
        <m:r>
          <m:t>4.85</m:t>
        </m:r>
        <m:r>
          <m:t>c</m:t>
        </m:r>
        <m:r>
          <m:t>o</m:t>
        </m:r>
        <m:r>
          <m:t>u</m:t>
        </m:r>
        <m:r>
          <m:t>l</m:t>
        </m:r>
        <m:r>
          <m:t>d</m:t>
        </m:r>
        <m:r>
          <m:t>b</m:t>
        </m:r>
        <m:r>
          <m:t>e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p</m:t>
        </m:r>
        <m:r>
          <m:t>r</m:t>
        </m:r>
        <m:r>
          <m:t>e</m:t>
        </m:r>
        <m:r>
          <m:t>t</m:t>
        </m:r>
        <m:r>
          <m:t>e</m:t>
        </m:r>
        <m:r>
          <m:t>d</m:t>
        </m:r>
        <m:r>
          <m:t>c</m:t>
        </m:r>
        <m:r>
          <m:t>a</m:t>
        </m:r>
        <m:r>
          <m:t>u</m:t>
        </m:r>
        <m:r>
          <m:t>t</m:t>
        </m:r>
        <m:r>
          <m:t>i</m:t>
        </m:r>
        <m:r>
          <m:t>o</m:t>
        </m:r>
        <m:r>
          <m:t>u</m:t>
        </m:r>
        <m:r>
          <m:t>s</m:t>
        </m:r>
        <m:r>
          <m:t>l</m:t>
        </m:r>
        <m:r>
          <m:t>y</m:t>
        </m:r>
        <m:r>
          <m:t>u</m:t>
        </m:r>
        <m:r>
          <m:t>n</m:t>
        </m:r>
        <m:r>
          <m:t>l</m:t>
        </m:r>
        <m:r>
          <m:t>e</m:t>
        </m:r>
        <m:r>
          <m:t>s</m:t>
        </m:r>
        <m:r>
          <m:t>s</m:t>
        </m:r>
        <m:r>
          <m:t>a</m:t>
        </m:r>
        <m:r>
          <m:t>c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i</m:t>
        </m:r>
        <m:r>
          <m:t>e</m:t>
        </m:r>
        <m:r>
          <m:t>d</m:t>
        </m:r>
        <m:r>
          <m:t>b</m:t>
        </m:r>
        <m:r>
          <m:t>y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r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a</m:t>
        </m:r>
        <m:r>
          <m:t>s</m:t>
        </m:r>
        <m:r>
          <m:t>s</m:t>
        </m:r>
        <m:r>
          <m:t>u</m:t>
        </m:r>
        <m:r>
          <m:t>m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o</m:t>
        </m:r>
        <m:r>
          <m:t>r</m:t>
        </m:r>
        <m:r>
          <m:t>a</m:t>
        </m:r>
        <m:r>
          <m:t>s</m:t>
        </m:r>
        <m:r>
          <m:t>t</m:t>
        </m:r>
        <m:r>
          <m:t>r</m:t>
        </m:r>
        <m:r>
          <m:t>o</m:t>
        </m:r>
        <m:r>
          <m:t>n</m:t>
        </m:r>
        <m:r>
          <m:t>g</m:t>
        </m:r>
        <m:r>
          <m:t>o</m:t>
        </m:r>
        <m:r>
          <m:t>r</m:t>
        </m:r>
        <m:r>
          <m:t>d</m:t>
        </m:r>
        <m:r>
          <m:t>e</m:t>
        </m:r>
        <m:r>
          <m:t>r</m:t>
        </m:r>
        <m:r>
          <m:t>u</m:t>
        </m:r>
        <m:r>
          <m:t>p</m:t>
        </m:r>
        <m:r>
          <m:t>d</m:t>
        </m:r>
        <m:r>
          <m:t>a</m:t>
        </m:r>
        <m:r>
          <m:t>t</m:t>
        </m:r>
        <m:r>
          <m:t>e</m:t>
        </m:r>
        <m:r>
          <m:rPr>
            <m:sty m:val="p"/>
          </m:rPr>
          <m:t>.</m:t>
        </m:r>
        <m:r>
          <m:t>A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o</m:t>
        </m:r>
        <m:r>
          <m:t>f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4.90–$4.95** would likely be viewed more favorably; anything above that would represent a clear beat-and-raise.</w:t>
      </w:r>
    </w:p>
    <w:p>
      <w:pPr>
        <w:pStyle w:val="BodyText"/>
      </w:pPr>
      <w:r>
        <w:t xml:space="preserve">Cash also deserves attention. Adjusted FCF conversion was only</w:t>
      </w:r>
      <w:r>
        <w:t xml:space="preserve"> </w:t>
      </w:r>
      <w:r>
        <w:rPr>
          <w:b/>
          <w:bCs/>
        </w:rPr>
        <w:t xml:space="preserve">75% through fiscal H1</w:t>
      </w:r>
      <w:r>
        <w:t xml:space="preserve">, versus the full-year target of approximately 100%. Q3 is normally a stronger cash quarter—adjusted FCF was $725 million in Q3 2025—but JCI still needs a substantial second-half improvement.</w:t>
      </w:r>
    </w:p>
    <w:p>
      <w:pPr>
        <w:pStyle w:val="BodyText"/>
      </w:pPr>
      <w:r>
        <w:t xml:space="preserve">Watch:</w:t>
      </w:r>
    </w:p>
    <w:p>
      <w:pPr>
        <w:pStyle w:val="Compact"/>
        <w:numPr>
          <w:ilvl w:val="0"/>
          <w:numId w:val="1010"/>
        </w:numPr>
      </w:pPr>
      <w:r>
        <w:t xml:space="preserve">Receivables and inventory;</w:t>
      </w:r>
    </w:p>
    <w:p>
      <w:pPr>
        <w:pStyle w:val="Compact"/>
        <w:numPr>
          <w:ilvl w:val="0"/>
          <w:numId w:val="1010"/>
        </w:numPr>
      </w:pPr>
      <w:r>
        <w:t xml:space="preserve">Advance payments and deferred revenue associated with large projects;</w:t>
      </w:r>
    </w:p>
    <w:p>
      <w:pPr>
        <w:pStyle w:val="Compact"/>
        <w:numPr>
          <w:ilvl w:val="0"/>
          <w:numId w:val="1010"/>
        </w:numPr>
      </w:pPr>
      <w:r>
        <w:t xml:space="preserve">Capital spending for data-center capacity;</w:t>
      </w:r>
    </w:p>
    <w:p>
      <w:pPr>
        <w:pStyle w:val="Compact"/>
        <w:numPr>
          <w:ilvl w:val="0"/>
          <w:numId w:val="1010"/>
        </w:numPr>
      </w:pPr>
      <w:r>
        <w:t xml:space="preserve">AFFF-related settlement cash payments;</w:t>
      </w:r>
    </w:p>
    <w:p>
      <w:pPr>
        <w:pStyle w:val="Compact"/>
        <w:numPr>
          <w:ilvl w:val="0"/>
          <w:numId w:val="1010"/>
        </w:numPr>
      </w:pPr>
      <w:r>
        <w:t xml:space="preserve">Buybacks; and</w:t>
      </w:r>
    </w:p>
    <w:p>
      <w:pPr>
        <w:pStyle w:val="Compact"/>
        <w:numPr>
          <w:ilvl w:val="0"/>
          <w:numId w:val="1010"/>
        </w:numPr>
      </w:pPr>
      <w:r>
        <w:t xml:space="preserve">Whether management still expects to return essentially all free cash flow to shareholders over time.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4" w:name="risks-going-into-the-print"/>
    <w:p>
      <w:pPr>
        <w:pStyle w:val="Heading2"/>
      </w:pPr>
      <w:r>
        <w:t xml:space="preserve">Risks going into the print</w:t>
      </w:r>
    </w:p>
    <w:bookmarkStart w:id="19" w:name="middle-east-disruption"/>
    <w:p>
      <w:pPr>
        <w:pStyle w:val="Heading3"/>
      </w:pPr>
      <w:r>
        <w:t xml:space="preserve">Middle East disruption</w:t>
      </w:r>
    </w:p>
    <w:p>
      <w:pPr>
        <w:pStyle w:val="FirstParagraph"/>
      </w:pPr>
      <w:r>
        <w:t xml:space="preserve">The Middle East represents only around 2%–3% of consolidated revenue but more than 10% of EMEA revenue. In Q2, roughly one-third of that regional business was delayed by conflict, and management did not assume a complete Q3 recovery.</w:t>
      </w:r>
    </w:p>
    <w:bookmarkEnd w:id="19"/>
    <w:bookmarkStart w:id="20" w:name="capacity-ramp-inefficiency"/>
    <w:p>
      <w:pPr>
        <w:pStyle w:val="Heading3"/>
      </w:pPr>
      <w:r>
        <w:t xml:space="preserve">Capacity-ramp inefficiency</w:t>
      </w:r>
    </w:p>
    <w:p>
      <w:pPr>
        <w:pStyle w:val="FirstParagraph"/>
      </w:pPr>
      <w:r>
        <w:t xml:space="preserve">Demand is strong, but hiring, training and ramping production can temporarily dilute margins. A revenue beat accompanied by weak productivity would be less valuable than a clean margin-driven beat.</w:t>
      </w:r>
    </w:p>
    <w:bookmarkEnd w:id="20"/>
    <w:bookmarkStart w:id="21" w:name="data-center-project-timing"/>
    <w:p>
      <w:pPr>
        <w:pStyle w:val="Heading3"/>
      </w:pPr>
      <w:r>
        <w:t xml:space="preserve">Data-center project timing</w:t>
      </w:r>
    </w:p>
    <w:p>
      <w:pPr>
        <w:pStyle w:val="FirstParagraph"/>
      </w:pPr>
      <w:r>
        <w:t xml:space="preserve">Power availability is delaying some customer projects and pushing backlog beyond 12 months. These are generally timing risks rather than cancellations, but they can create quarterly volatility.</w:t>
      </w:r>
    </w:p>
    <w:bookmarkEnd w:id="21"/>
    <w:bookmarkStart w:id="22" w:name="service-and-non-data-center-demand"/>
    <w:p>
      <w:pPr>
        <w:pStyle w:val="Heading3"/>
      </w:pPr>
      <w:r>
        <w:t xml:space="preserve">Service and non-data-center demand</w:t>
      </w:r>
    </w:p>
    <w:p>
      <w:pPr>
        <w:pStyle w:val="FirstParagraph"/>
      </w:pPr>
      <w:r>
        <w:t xml:space="preserve">The stock’s long-term thesis is stronger if healthcare, pharmaceuticals, advanced manufacturing and general commercial service remain healthy. Excessive reliance on data centers would increase concentration and execution risk.</w:t>
      </w:r>
    </w:p>
    <w:bookmarkEnd w:id="22"/>
    <w:bookmarkStart w:id="23" w:name="valuation"/>
    <w:p>
      <w:pPr>
        <w:pStyle w:val="Heading3"/>
      </w:pPr>
      <w:r>
        <w:t xml:space="preserve">Valuation</w:t>
      </w:r>
    </w:p>
    <w:p>
      <w:pPr>
        <w:pStyle w:val="FirstParagraph"/>
      </w:pPr>
      <w:r>
        <w:t xml:space="preserve">JCI closed at</w:t>
      </w:r>
      <w:r>
        <w:t xml:space="preserve"> </w:t>
      </w:r>
      <w:r>
        <w:rPr>
          <w:b/>
          <w:bCs/>
        </w:rPr>
        <w:t xml:space="preserve">$140.31 on July 28</w:t>
      </w:r>
      <w:r>
        <w:t xml:space="preserve">, up approximately 15% from the beginning of 2026. At current consensus estimates, that is roughly</w:t>
      </w:r>
      <w:r>
        <w:t xml:space="preserve"> </w:t>
      </w:r>
      <w:r>
        <w:rPr>
          <w:b/>
          <w:bCs/>
        </w:rPr>
        <w:t xml:space="preserve">29 times fiscal 2026 EPS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24 times fiscal 2027 EPS</w:t>
      </w:r>
      <w:r>
        <w:t xml:space="preserve">. The multiple leaves limited room for a merely in-line quarter, particularly after the company’s ambitious June investor presentation.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scenario-framework"/>
    <w:p>
      <w:pPr>
        <w:pStyle w:val="Heading2"/>
      </w:pPr>
      <w:r>
        <w:t xml:space="preserve">Scenario framework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Organic growth above 6%;</w:t>
      </w:r>
    </w:p>
    <w:p>
      <w:pPr>
        <w:pStyle w:val="Compact"/>
        <w:numPr>
          <w:ilvl w:val="0"/>
          <w:numId w:val="1011"/>
        </w:numPr>
      </w:pPr>
      <w:r>
        <w:t xml:space="preserve">Adjusted EPS of at least</w:t>
      </w:r>
      <w:r>
        <w:t xml:space="preserve"> </w:t>
      </w:r>
      <m:oMath>
        <m:r>
          <m:t>1.32</m:t>
        </m:r>
        <m:r>
          <m:rPr>
            <m:sty m:val="p"/>
          </m:rPr>
          <m:t>–</m:t>
        </m:r>
      </m:oMath>
      <w:r>
        <w:t xml:space="preserve">1.35;</w:t>
      </w:r>
    </w:p>
    <w:p>
      <w:pPr>
        <w:pStyle w:val="Compact"/>
        <w:numPr>
          <w:ilvl w:val="0"/>
          <w:numId w:val="1011"/>
        </w:numPr>
      </w:pPr>
      <w:r>
        <w:t xml:space="preserve">Orders remain double-digit positive;</w:t>
      </w:r>
    </w:p>
    <w:p>
      <w:pPr>
        <w:pStyle w:val="Compact"/>
        <w:numPr>
          <w:ilvl w:val="0"/>
          <w:numId w:val="1011"/>
        </w:numPr>
      </w:pPr>
      <w:r>
        <w:t xml:space="preserve">Backlog expands from $20 billion;</w:t>
      </w:r>
    </w:p>
    <w:p>
      <w:pPr>
        <w:pStyle w:val="Compact"/>
        <w:numPr>
          <w:ilvl w:val="0"/>
          <w:numId w:val="1011"/>
        </w:numPr>
      </w:pPr>
      <w:r>
        <w:t xml:space="preserve">Operating leverage exceeds 45%;</w:t>
      </w:r>
    </w:p>
    <w:p>
      <w:pPr>
        <w:pStyle w:val="Compact"/>
        <w:numPr>
          <w:ilvl w:val="0"/>
          <w:numId w:val="1011"/>
        </w:numPr>
      </w:pPr>
      <w:r>
        <w:t xml:space="preserve">FY26 EPS guide rises to at least $4.95;</w:t>
      </w:r>
    </w:p>
    <w:p>
      <w:pPr>
        <w:pStyle w:val="Compact"/>
        <w:numPr>
          <w:ilvl w:val="0"/>
          <w:numId w:val="1011"/>
        </w:numPr>
      </w:pPr>
      <w:r>
        <w:t xml:space="preserve">Strong cash conversion and improving service orders.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Organic growth around 6%;</w:t>
      </w:r>
    </w:p>
    <w:p>
      <w:pPr>
        <w:pStyle w:val="Compact"/>
        <w:numPr>
          <w:ilvl w:val="0"/>
          <w:numId w:val="1012"/>
        </w:numPr>
      </w:pPr>
      <w:r>
        <w:t xml:space="preserve">EPS around</w:t>
      </w:r>
      <w:r>
        <w:t xml:space="preserve"> </w:t>
      </w:r>
      <m:oMath>
        <m:r>
          <m:t>1.29</m:t>
        </m:r>
        <m:r>
          <m:rPr>
            <m:sty m:val="p"/>
          </m:rPr>
          <m:t>–</m:t>
        </m:r>
      </m:oMath>
      <w:r>
        <w:t xml:space="preserve">1.32;</w:t>
      </w:r>
    </w:p>
    <w:p>
      <w:pPr>
        <w:pStyle w:val="Compact"/>
        <w:numPr>
          <w:ilvl w:val="0"/>
          <w:numId w:val="1012"/>
        </w:numPr>
      </w:pPr>
      <w:r>
        <w:t xml:space="preserve">Orders moderate but remain healthy;</w:t>
      </w:r>
    </w:p>
    <w:p>
      <w:pPr>
        <w:pStyle w:val="Compact"/>
        <w:numPr>
          <w:ilvl w:val="0"/>
          <w:numId w:val="1012"/>
        </w:numPr>
      </w:pPr>
      <w:r>
        <w:t xml:space="preserve">Backlog stays near record levels;</w:t>
      </w:r>
    </w:p>
    <w:p>
      <w:pPr>
        <w:pStyle w:val="Compact"/>
        <w:numPr>
          <w:ilvl w:val="0"/>
          <w:numId w:val="1012"/>
        </w:numPr>
      </w:pPr>
      <w:r>
        <w:t xml:space="preserve">FY26 EPS guide moves modestly toward $4.90;</w:t>
      </w:r>
    </w:p>
    <w:p>
      <w:pPr>
        <w:pStyle w:val="Compact"/>
        <w:numPr>
          <w:ilvl w:val="0"/>
          <w:numId w:val="1012"/>
        </w:numPr>
      </w:pPr>
      <w:r>
        <w:t xml:space="preserve">Cash flow remains on track for a Q4-heavy finish.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Organic growth below 5%;</w:t>
      </w:r>
    </w:p>
    <w:p>
      <w:pPr>
        <w:pStyle w:val="Compact"/>
        <w:numPr>
          <w:ilvl w:val="0"/>
          <w:numId w:val="1013"/>
        </w:numPr>
      </w:pPr>
      <w:r>
        <w:t xml:space="preserve">EPS below the $1.28 internal guide;</w:t>
      </w:r>
    </w:p>
    <w:p>
      <w:pPr>
        <w:pStyle w:val="Compact"/>
        <w:numPr>
          <w:ilvl w:val="0"/>
          <w:numId w:val="1013"/>
        </w:numPr>
      </w:pPr>
      <w:r>
        <w:t xml:space="preserve">Material order deceleration or backlog conversion delays;</w:t>
      </w:r>
    </w:p>
    <w:p>
      <w:pPr>
        <w:pStyle w:val="Compact"/>
        <w:numPr>
          <w:ilvl w:val="0"/>
          <w:numId w:val="1013"/>
        </w:numPr>
      </w:pPr>
      <w:r>
        <w:t xml:space="preserve">Operating leverage misses because of factory inefficiencies;</w:t>
      </w:r>
    </w:p>
    <w:p>
      <w:pPr>
        <w:pStyle w:val="Compact"/>
        <w:numPr>
          <w:ilvl w:val="0"/>
          <w:numId w:val="1013"/>
        </w:numPr>
      </w:pPr>
      <w:r>
        <w:t xml:space="preserve">Full-year guidance is merely reiterated or reduced;</w:t>
      </w:r>
    </w:p>
    <w:p>
      <w:pPr>
        <w:pStyle w:val="Compact"/>
        <w:numPr>
          <w:ilvl w:val="0"/>
          <w:numId w:val="1013"/>
        </w:numPr>
      </w:pPr>
      <w:r>
        <w:t xml:space="preserve">Service weakness broadens beyond security.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JCI’s fundamental setup is strong: record backlog, substantial data-center exposure, improving margins and an increasingly credible productivity program. But much of that improvement is now reflected in expectations.</w:t>
      </w:r>
    </w:p>
    <w:p>
      <w:pPr>
        <w:pStyle w:val="BodyText"/>
      </w:pPr>
      <w:r>
        <w:t xml:space="preserve">The most important signal will not be whether adjusted EPS beats consensus by a few cents. It will be whether</w:t>
      </w:r>
      <w:r>
        <w:t xml:space="preserve"> </w:t>
      </w:r>
      <w:r>
        <w:rPr>
          <w:b/>
          <w:bCs/>
        </w:rPr>
        <w:t xml:space="preserve">orders remain durable, backlog converts on schedule, data-center strength broadens across the portfolio, and management raises full-year guidance while maintaining strong cash conversion</w:t>
      </w:r>
      <w:r>
        <w:t xml:space="preserve">.</w:t>
      </w:r>
    </w:p>
    <w:p>
      <w:pPr>
        <w:pStyle w:val="BodyText"/>
      </w:pPr>
      <w:r>
        <w:t xml:space="preserve">A clean beat-and-raise with continued backlog growth would reinforce the case that JCI is evolving into a higher-growth thermal-management and mission-critical infrastructure company. An in-line result with slowing orders or weaker conversion could lead investors to question whether the stock has moved ahead of near-term execution.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s.johnsoncontrols.com/news/news-details/2026/Johnson-Controls-Announces-Third-Quarter-2026-Earnings-Conference-Call-Webcast/default.aspx?utm_source=openai" TargetMode="External" /><Relationship Type="http://schemas.openxmlformats.org/officeDocument/2006/relationships/hyperlink" Id="rId11" Target="https://www.marketbeat.com/earnings/reports/2026-7-29-johnson-controls-international-plc-stock/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s.johnsoncontrols.com/news/news-details/2026/Johnson-Controls-Announces-Third-Quarter-2026-Earnings-Conference-Call-Webcast/default.aspx?utm_source=openai" TargetMode="External" /><Relationship Type="http://schemas.openxmlformats.org/officeDocument/2006/relationships/hyperlink" Id="rId11" Target="https://www.marketbeat.com/earnings/reports/2026-7-29-johnson-controls-international-plc-stock/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2026-07-29T00:22:06Z</dcterms:created>
  <dcterms:modified xsi:type="dcterms:W3CDTF">2026-07-29T00:22:06Z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