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ci-earnings-predictions--2026-07-29"/>
    <w:p>
      <w:pPr>
        <w:pStyle w:val="Heading1"/>
      </w:pPr>
      <w:r>
        <w:t xml:space="preserve">JCI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~6.5% vs. cons 6.1%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~22% vs. cons 20%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~$4.85 vs. cons $4.88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fiscal 4Q26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~$1.46 vs. cons $1.49 (4Q26)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sales-growth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~6.0% vs. cons 6.2%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conversion in the next 12 months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~70% vs. cons 72% (next 12 months)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3Q beat is likely outweighed by unchanged FY26 EPS of ~</w:t>
            </w:r>
            <m:oMath>
              <m:r>
                <m:t>4.85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4.88 consensus, implying ~</w:t>
            </w:r>
            <m:oMath>
              <m:r>
                <m:t>1.46</m:t>
              </m:r>
              <m:r>
                <m:t>f</m:t>
              </m:r>
              <m:r>
                <m:t>o</m:t>
              </m:r>
              <m:r>
                <m:t>r</m:t>
              </m:r>
              <m:r>
                <m:t>4</m:t>
              </m:r>
              <m:r>
                <m:t>Q</m:t>
              </m:r>
              <m:r>
                <m:t>26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1.49. That out-period shortfall, together with continued ~70% backlog-conversion timing, should pull FY26/FY27 revisions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2026-07-29T00:20:57Z</dcterms:created>
  <dcterms:modified xsi:type="dcterms:W3CDTF">2026-07-29T00:20:57Z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