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456042c704b05f05d20999525d8c31945492bd"/>
    <w:p>
      <w:pPr>
        <w:pStyle w:val="Heading1"/>
      </w:pPr>
      <w:r>
        <w:t xml:space="preserve">Johnson Controls (NYSE: JCI) — Fiscal 3Q26 Earnings Preview</w:t>
      </w:r>
    </w:p>
    <w:p>
      <w:pPr>
        <w:pStyle w:val="BlockText"/>
      </w:pPr>
      <w:r>
        <w:rPr>
          <w:b/>
          <w:bCs/>
        </w:rPr>
        <w:t xml:space="preserve">Date clarification:</w:t>
      </w:r>
      <w:r>
        <w:t xml:space="preserve"> </w:t>
      </w:r>
      <w:r>
        <w:t xml:space="preserve">The event is listed as</w:t>
      </w:r>
      <w:r>
        <w:t xml:space="preserve"> </w:t>
      </w:r>
      <w:r>
        <w:rPr>
          <w:b/>
          <w:bCs/>
        </w:rPr>
        <w:t xml:space="preserve">July 29, 2026</w:t>
      </w:r>
      <w:r>
        <w:t xml:space="preserve">, which is</w:t>
      </w:r>
      <w:r>
        <w:t xml:space="preserve"> </w:t>
      </w:r>
      <w:r>
        <w:rPr>
          <w:b/>
          <w:bCs/>
        </w:rPr>
        <w:t xml:space="preserve">today</w:t>
      </w:r>
      <w:r>
        <w:t xml:space="preserve"> </w:t>
      </w:r>
      <w:r>
        <w:t xml:space="preserve">(Wednesday, July 29), rather than tomorrow. This preview therefore reflects the setup immediately ahead of JCI’s reported fiscal 3Q26 earnings call.</w:t>
      </w:r>
    </w:p>
    <w:bookmarkStart w:id="9" w:name="X6a0f2177a51232a1d87b3d18a64783811d15ea2"/>
    <w:p>
      <w:pPr>
        <w:pStyle w:val="Heading2"/>
      </w:pPr>
      <w:r>
        <w:t xml:space="preserve">Investment setup: execution against an unusually favorable demand backdrop</w:t>
      </w:r>
    </w:p>
    <w:p>
      <w:pPr>
        <w:pStyle w:val="FirstParagraph"/>
      </w:pPr>
      <w:r>
        <w:t xml:space="preserve">Johnson Controls enters fiscal 3Q26 with strong operating momentum, record backlog, and an increasingly data-center-centric growth narrative. The company’s fiscal 2Q26 result set a high bar: organic sales grew</w:t>
      </w:r>
      <w:r>
        <w:t xml:space="preserve"> </w:t>
      </w:r>
      <w:r>
        <w:rPr>
          <w:b/>
          <w:bCs/>
        </w:rPr>
        <w:t xml:space="preserve">6%</w:t>
      </w:r>
      <w:r>
        <w:t xml:space="preserve">, adjusted EPS rose</w:t>
      </w:r>
      <w:r>
        <w:t xml:space="preserve"> </w:t>
      </w:r>
      <w:r>
        <w:rPr>
          <w:b/>
          <w:bCs/>
        </w:rPr>
        <w:t xml:space="preserve">45%</w:t>
      </w:r>
      <w:r>
        <w:t xml:space="preserve"> </w:t>
      </w:r>
      <w:r>
        <w:t xml:space="preserve">year over year to</w:t>
      </w:r>
      <w:r>
        <w:t xml:space="preserve"> </w:t>
      </w:r>
      <m:oMath>
        <m:r>
          <m:t>1.19</m:t>
        </m:r>
        <m:r>
          <m:rPr>
            <m:sty m:val="p"/>
          </m:rPr>
          <m:t>*</m:t>
        </m:r>
        <m:r>
          <m:rPr>
            <m:sty m:val="p"/>
          </m:rPr>
          <m:t>*</m:t>
        </m:r>
        <m:r>
          <m:rPr>
            <m:sty m:val="p"/>
          </m:rPr>
          <m:t>,</m:t>
        </m:r>
        <m:r>
          <m:t>o</m:t>
        </m:r>
        <m:r>
          <m:t>r</m:t>
        </m:r>
        <m:r>
          <m:t>d</m:t>
        </m:r>
        <m:r>
          <m:t>e</m:t>
        </m:r>
        <m:r>
          <m:t>r</m:t>
        </m:r>
        <m:r>
          <m:t>s</m:t>
        </m:r>
        <m:r>
          <m:t>r</m:t>
        </m:r>
        <m:r>
          <m:t>o</m:t>
        </m:r>
        <m:r>
          <m:t>s</m:t>
        </m:r>
        <m:r>
          <m:t>e</m:t>
        </m:r>
        <m:r>
          <m:rPr>
            <m:sty m:val="p"/>
          </m:rPr>
          <m:t>*</m:t>
        </m:r>
        <m:r>
          <m:rPr>
            <m:sty m:val="p"/>
          </m:rPr>
          <m:t>*</m:t>
        </m:r>
        <m:r>
          <m:t>30</m:t>
        </m:r>
      </m:oMath>
      <w:r>
        <w:rPr>
          <w:b/>
          <w:bCs/>
        </w:rPr>
        <w:t xml:space="preserve">20.0 billion</w:t>
      </w:r>
      <w:r>
        <w:t xml:space="preserve">.</w:t>
      </w:r>
    </w:p>
    <w:p>
      <w:pPr>
        <w:pStyle w:val="BodyText"/>
      </w:pPr>
      <w:r>
        <w:t xml:space="preserve">For 3Q, management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Fiscal 3Q26 guide</w:t>
            </w:r>
          </w:p>
        </w:tc>
        <w:tc>
          <w:tcPr/>
          <w:p>
            <w:pPr>
              <w:pStyle w:val="Compact"/>
              <w:jc w:val="right"/>
            </w:pPr>
            <w:r>
              <w:t xml:space="preserve">Management outlook</w:t>
            </w:r>
          </w:p>
        </w:tc>
      </w:tr>
      <w:tr>
        <w:tc>
          <w:tcPr/>
          <w:p>
            <w:pPr>
              <w:pStyle w:val="Compact"/>
            </w:pPr>
            <w:r>
              <w:t xml:space="preserve">Organic sales growth</w:t>
            </w:r>
          </w:p>
        </w:tc>
        <w:tc>
          <w:tcPr/>
          <w:p>
            <w:pPr>
              <w:pStyle w:val="Compact"/>
              <w:jc w:val="right"/>
            </w:pPr>
            <w:r>
              <w:t xml:space="preserve">~</w:t>
            </w:r>
            <w:r>
              <w:rPr>
                <w:b/>
                <w:bCs/>
              </w:rPr>
              <w:t xml:space="preserve">6%</w:t>
            </w:r>
          </w:p>
        </w:tc>
      </w:tr>
      <w:tr>
        <w:tc>
          <w:tcPr/>
          <w:p>
            <w:pPr>
              <w:pStyle w:val="Compact"/>
            </w:pPr>
            <w:r>
              <w:t xml:space="preserve">Operating leverage</w:t>
            </w:r>
          </w:p>
        </w:tc>
        <w:tc>
          <w:tcPr/>
          <w:p>
            <w:pPr>
              <w:pStyle w:val="Compact"/>
              <w:jc w:val="right"/>
            </w:pPr>
            <w:r>
              <w:t xml:space="preserve">~</w:t>
            </w:r>
            <w:r>
              <w:rPr>
                <w:b/>
                <w:bCs/>
              </w:rPr>
              <w:t xml:space="preserve">45%</w:t>
            </w:r>
          </w:p>
        </w:tc>
      </w:tr>
      <w:tr>
        <w:tc>
          <w:tcPr/>
          <w:p>
            <w:pPr>
              <w:pStyle w:val="Compact"/>
            </w:pPr>
            <w:r>
              <w:t xml:space="preserve">Adjusted EPS</w:t>
            </w:r>
          </w:p>
        </w:tc>
        <w:tc>
          <w:tcPr/>
          <w:p>
            <w:pPr>
              <w:pStyle w:val="Compact"/>
              <w:jc w:val="right"/>
            </w:pPr>
            <w:r>
              <w:t xml:space="preserve">~</w:t>
            </w:r>
            <w:r>
              <w:rPr>
                <w:b/>
                <w:bCs/>
              </w:rPr>
              <w:t xml:space="preserve">$1.28</w:t>
            </w:r>
          </w:p>
        </w:tc>
      </w:tr>
    </w:tbl>
    <w:p>
      <w:pPr>
        <w:pStyle w:val="BodyText"/>
      </w:pPr>
      <w:r>
        <w:t xml:space="preserve">The key issue is not simply whether JCI delivers on that guide. Investors will focus on whether the company can demonstrate that its elevated order activity—especially related to data centers—is converting to revenue and margin at a rate sufficient to support an acceleration into fiscal 2027.</w:t>
      </w:r>
    </w:p>
    <w:p>
      <w:pPr>
        <w:pStyle w:val="BodyText"/>
      </w:pPr>
      <w:r>
        <w:t xml:space="preserve">Management’s fiscal-year guidance is</w:t>
      </w:r>
      <w:r>
        <w:t xml:space="preserve"> </w:t>
      </w:r>
      <w:r>
        <w:rPr>
          <w:b/>
          <w:bCs/>
        </w:rPr>
        <w:t xml:space="preserve">~6% organic growth</w:t>
      </w:r>
      <w:r>
        <w:t xml:space="preserve">,</w:t>
      </w:r>
      <w:r>
        <w:t xml:space="preserve"> </w:t>
      </w:r>
      <w:r>
        <w:rPr>
          <w:b/>
          <w:bCs/>
        </w:rPr>
        <w:t xml:space="preserve">~50% operating leverage</w:t>
      </w:r>
      <w:r>
        <w:t xml:space="preserve">,</w:t>
      </w:r>
      <w:r>
        <w:t xml:space="preserve"> </w:t>
      </w:r>
      <w:r>
        <w:rPr>
          <w:b/>
          <w:bCs/>
        </w:rPr>
        <w:t xml:space="preserve">~</w:t>
      </w:r>
      <m:oMath>
        <m:r>
          <m:t>4.85</m:t>
        </m:r>
        <m:r>
          <m:t>a</m:t>
        </m:r>
        <m:r>
          <m:t>d</m:t>
        </m:r>
        <m:r>
          <m:t>j</m:t>
        </m:r>
        <m:r>
          <m:t>u</m:t>
        </m:r>
        <m:r>
          <m:t>s</m:t>
        </m:r>
        <m:r>
          <m:t>t</m:t>
        </m:r>
        <m:r>
          <m:t>e</m:t>
        </m:r>
        <m:r>
          <m:t>d</m:t>
        </m:r>
        <m:r>
          <m:t>E</m:t>
        </m:r>
        <m:r>
          <m:t>P</m:t>
        </m:r>
        <m:r>
          <m:t>S</m:t>
        </m:r>
        <m:r>
          <m:rPr>
            <m:sty m:val="p"/>
          </m:rPr>
          <m:t>*</m:t>
        </m:r>
        <m:r>
          <m:rPr>
            <m:sty m:val="p"/>
          </m:rPr>
          <m:t>*</m:t>
        </m:r>
        <m:r>
          <m:rPr>
            <m:sty m:val="p"/>
          </m:rPr>
          <m:t>,</m:t>
        </m:r>
        <m:r>
          <m:t>a</m:t>
        </m:r>
        <m:r>
          <m:t>n</m:t>
        </m:r>
        <m:r>
          <m:t>d</m:t>
        </m:r>
        <m:r>
          <m:rPr>
            <m:sty m:val="p"/>
          </m:rPr>
          <m:t>*</m:t>
        </m:r>
        <m:r>
          <m:rPr>
            <m:sty m:val="p"/>
          </m:rPr>
          <m:t>*</m:t>
        </m:r>
        <m:r>
          <m:t> </m:t>
        </m:r>
        <m:r>
          <m:t>100</m:t>
        </m:r>
      </m:oMath>
      <w:r>
        <w:rPr>
          <w:b/>
          <w:bCs/>
        </w:rPr>
        <w:t xml:space="preserve">2.08</w:t>
      </w:r>
      <w:r>
        <w:t xml:space="preserve"> </w:t>
      </w:r>
      <w:r>
        <w:t xml:space="preserve">and 3Q guidance of</w:t>
      </w:r>
      <w:r>
        <w:t xml:space="preserve"> </w:t>
      </w:r>
      <m:oMath>
        <m:r>
          <m:t>1.28</m:t>
        </m:r>
        <m:r>
          <m:rPr>
            <m:sty m:val="p"/>
          </m:rPr>
          <m:t>*</m:t>
        </m:r>
        <m:r>
          <m:rPr>
            <m:sty m:val="p"/>
          </m:rPr>
          <m:t>*</m:t>
        </m:r>
        <m:r>
          <m:rPr>
            <m:sty m:val="p"/>
          </m:rPr>
          <m:t>,</m:t>
        </m:r>
        <m:r>
          <m:t>t</m:t>
        </m:r>
        <m:r>
          <m:t>h</m:t>
        </m:r>
        <m:r>
          <m:t>e</m:t>
        </m:r>
        <m:r>
          <m:t>f</m:t>
        </m:r>
        <m:r>
          <m:t>u</m:t>
        </m:r>
        <m:r>
          <m:t>l</m:t>
        </m:r>
        <m:r>
          <m:t>l</m:t>
        </m:r>
        <m:r>
          <m:rPr>
            <m:sty m:val="p"/>
          </m:rPr>
          <m:t>−</m:t>
        </m:r>
        <m:r>
          <m:t>y</m:t>
        </m:r>
        <m:r>
          <m:t>e</m:t>
        </m:r>
        <m:r>
          <m:t>a</m:t>
        </m:r>
        <m:r>
          <m:t>r</m:t>
        </m:r>
        <m:r>
          <m:t>o</m:t>
        </m:r>
        <m:r>
          <m:t>u</m:t>
        </m:r>
        <m:r>
          <m:t>t</m:t>
        </m:r>
        <m:r>
          <m:t>l</m:t>
        </m:r>
        <m:r>
          <m:t>o</m:t>
        </m:r>
        <m:r>
          <m:t>o</m:t>
        </m:r>
        <m:r>
          <m:t>k</m:t>
        </m:r>
        <m:r>
          <m:t>i</m:t>
        </m:r>
        <m:r>
          <m:t>m</m:t>
        </m:r>
        <m:r>
          <m:t>p</m:t>
        </m:r>
        <m:r>
          <m:t>l</m:t>
        </m:r>
        <m:r>
          <m:t>i</m:t>
        </m:r>
        <m:r>
          <m:t>e</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1.49</w:t>
      </w:r>
      <w:r>
        <w:t xml:space="preserve"> </w:t>
      </w:r>
      <w:r>
        <w:t xml:space="preserve">of adjusted EPS in fiscal 4Q. That makes the July report and its outlook commentary important for confidence in the second-half trajectory.</w:t>
      </w:r>
    </w:p>
    <w:p>
      <w:r>
        <w:pict>
          <v:rect style="width:0;height:1.5pt" o:hralign="center" o:hrstd="t" o:hr="t"/>
        </w:pict>
      </w:r>
    </w:p>
    <w:bookmarkEnd w:id="9"/>
    <w:bookmarkStart w:id="14" w:name="what-matters-most-this-quarter"/>
    <w:p>
      <w:pPr>
        <w:pStyle w:val="Heading2"/>
      </w:pPr>
      <w:r>
        <w:t xml:space="preserve">What matters most this quarter</w:t>
      </w:r>
    </w:p>
    <w:bookmarkStart w:id="10" w:name="X96f805c9b729840a5c79e9d1d400226e87ee5e9"/>
    <w:p>
      <w:pPr>
        <w:pStyle w:val="Heading3"/>
      </w:pPr>
      <w:r>
        <w:t xml:space="preserve">1. Data-center orders, backlog quality, and conversion timing</w:t>
      </w:r>
    </w:p>
    <w:p>
      <w:pPr>
        <w:pStyle w:val="FirstParagraph"/>
      </w:pPr>
      <w:r>
        <w:t xml:space="preserve">JCI’s core bull case is increasingly tied to mission-critical cooling and thermal-management content in data centers.</w:t>
      </w:r>
    </w:p>
    <w:p>
      <w:pPr>
        <w:pStyle w:val="BodyText"/>
      </w:pPr>
      <w:r>
        <w:t xml:space="preserve">In fiscal 2Q, Americas orders rose</w:t>
      </w:r>
      <w:r>
        <w:t xml:space="preserve"> </w:t>
      </w:r>
      <w:r>
        <w:rPr>
          <w:b/>
          <w:bCs/>
        </w:rPr>
        <w:t xml:space="preserve">40%</w:t>
      </w:r>
      <w:r>
        <w:t xml:space="preserve">, driven by nearly</w:t>
      </w:r>
      <w:r>
        <w:t xml:space="preserve"> </w:t>
      </w:r>
      <w:r>
        <w:rPr>
          <w:b/>
          <w:bCs/>
        </w:rPr>
        <w:t xml:space="preserve">60% systems growth</w:t>
      </w:r>
      <w:r>
        <w:t xml:space="preserve"> </w:t>
      </w:r>
      <w:r>
        <w:t xml:space="preserve">and large data-center projects. Overall backlog rose</w:t>
      </w:r>
      <w:r>
        <w:t xml:space="preserve"> </w:t>
      </w:r>
      <w:r>
        <w:rPr>
          <w:b/>
          <w:bCs/>
        </w:rPr>
        <w:t xml:space="preserve">26%</w:t>
      </w:r>
      <w:r>
        <w:t xml:space="preserve"> </w:t>
      </w:r>
      <w:r>
        <w:t xml:space="preserve">year over year to</w:t>
      </w:r>
      <w:r>
        <w:t xml:space="preserve"> </w:t>
      </w:r>
      <w:r>
        <w:rPr>
          <w:b/>
          <w:bCs/>
        </w:rPr>
        <w:t xml:space="preserve">$20 billion</w:t>
      </w:r>
      <w:r>
        <w:t xml:space="preserve">. Management said approximately</w:t>
      </w:r>
      <w:r>
        <w:t xml:space="preserve"> </w:t>
      </w:r>
      <w:r>
        <w:rPr>
          <w:b/>
          <w:bCs/>
        </w:rPr>
        <w:t xml:space="preserve">70%</w:t>
      </w:r>
      <w:r>
        <w:t xml:space="preserve"> </w:t>
      </w:r>
      <w:r>
        <w:t xml:space="preserve">of backlog could convert to revenue over the following 12 months, although some data-center deliveries are being deferred because customers lack sufficient power and electrical infrastructure.</w:t>
      </w:r>
    </w:p>
    <w:p>
      <w:pPr>
        <w:pStyle w:val="BodyText"/>
      </w:pPr>
      <w:r>
        <w:t xml:space="preserve">For investors, the most important disclosures will be:</w:t>
      </w:r>
    </w:p>
    <w:p>
      <w:pPr>
        <w:pStyle w:val="Compact"/>
        <w:numPr>
          <w:ilvl w:val="0"/>
          <w:numId w:val="1001"/>
        </w:numPr>
      </w:pPr>
      <w:r>
        <w:t xml:space="preserve">Whether orders remain well above the company’s mid-single-digit revenue-growth rate.</w:t>
      </w:r>
    </w:p>
    <w:p>
      <w:pPr>
        <w:pStyle w:val="Compact"/>
        <w:numPr>
          <w:ilvl w:val="0"/>
          <w:numId w:val="1001"/>
        </w:numPr>
      </w:pPr>
      <w:r>
        <w:t xml:space="preserve">Whether data-center demand remains broad-based across hyperscalers, colocation providers, and international customers.</w:t>
      </w:r>
    </w:p>
    <w:p>
      <w:pPr>
        <w:pStyle w:val="Compact"/>
        <w:numPr>
          <w:ilvl w:val="0"/>
          <w:numId w:val="1001"/>
        </w:numPr>
      </w:pPr>
      <w:r>
        <w:t xml:space="preserve">Any evidence that power availability is pushing project delivery dates further out.</w:t>
      </w:r>
    </w:p>
    <w:p>
      <w:pPr>
        <w:pStyle w:val="Compact"/>
        <w:numPr>
          <w:ilvl w:val="0"/>
          <w:numId w:val="1001"/>
        </w:numPr>
      </w:pPr>
      <w:r>
        <w:t xml:space="preserve">The mix of backlog expected to convert during fiscal 2027.</w:t>
      </w:r>
    </w:p>
    <w:p>
      <w:pPr>
        <w:pStyle w:val="Compact"/>
        <w:numPr>
          <w:ilvl w:val="0"/>
          <w:numId w:val="1001"/>
        </w:numPr>
      </w:pPr>
      <w:r>
        <w:t xml:space="preserve">Progress in air handlers, chillers, coolant-distribution units (CDUs), controls, fire protection, and services—not just chiller demand.</w:t>
      </w:r>
    </w:p>
    <w:p>
      <w:pPr>
        <w:pStyle w:val="FirstParagraph"/>
      </w:pPr>
      <w:r>
        <w:t xml:space="preserve">The company has argued that liquid cooling does</w:t>
      </w:r>
      <w:r>
        <w:t xml:space="preserve"> </w:t>
      </w:r>
      <w:r>
        <w:rPr>
          <w:b/>
          <w:bCs/>
        </w:rPr>
        <w:t xml:space="preserve">not</w:t>
      </w:r>
      <w:r>
        <w:t xml:space="preserve"> </w:t>
      </w:r>
      <w:r>
        <w:t xml:space="preserve">necessarily reduce its opportunity in data centers, because substantial air-handling needs remain for non-chip heat loads. The credibility of that claim will be tested by order mix and commentary around content per megawatt.</w:t>
      </w:r>
    </w:p>
    <w:bookmarkEnd w:id="10"/>
    <w:bookmarkStart w:id="11" w:name="Xe35b3170a619542ab4b4c4ce9f53a6b9f183861"/>
    <w:p>
      <w:pPr>
        <w:pStyle w:val="Heading3"/>
      </w:pPr>
      <w:r>
        <w:t xml:space="preserve">2. Margin delivery amid capacity expansion</w:t>
      </w:r>
    </w:p>
    <w:p>
      <w:pPr>
        <w:pStyle w:val="FirstParagraph"/>
      </w:pPr>
      <w:r>
        <w:t xml:space="preserve">JCI’s 3Q operating-leverage guide of approximately</w:t>
      </w:r>
      <w:r>
        <w:t xml:space="preserve"> </w:t>
      </w:r>
      <w:r>
        <w:rPr>
          <w:b/>
          <w:bCs/>
        </w:rPr>
        <w:t xml:space="preserve">45%</w:t>
      </w:r>
      <w:r>
        <w:t xml:space="preserve"> </w:t>
      </w:r>
      <w:r>
        <w:t xml:space="preserve">remains robust, but it is below the roughly</w:t>
      </w:r>
      <w:r>
        <w:t xml:space="preserve"> </w:t>
      </w:r>
      <w:r>
        <w:rPr>
          <w:b/>
          <w:bCs/>
        </w:rPr>
        <w:t xml:space="preserve">50%</w:t>
      </w:r>
      <w:r>
        <w:t xml:space="preserve"> </w:t>
      </w:r>
      <w:r>
        <w:t xml:space="preserve">expected for the full year. The key debate is whether the company can sustain margin expansion while ramping capacity to meet demand.</w:t>
      </w:r>
    </w:p>
    <w:p>
      <w:pPr>
        <w:pStyle w:val="BodyText"/>
      </w:pPr>
      <w:r>
        <w:t xml:space="preserve">In 2Q, adjusted segment EBITA margins increased to:</w:t>
      </w:r>
    </w:p>
    <w:p>
      <w:pPr>
        <w:pStyle w:val="Compact"/>
        <w:numPr>
          <w:ilvl w:val="0"/>
          <w:numId w:val="1002"/>
        </w:numPr>
      </w:pPr>
      <w:r>
        <w:rPr>
          <w:b/>
          <w:bCs/>
        </w:rPr>
        <w:t xml:space="preserve">Americas:</w:t>
      </w:r>
      <w:r>
        <w:t xml:space="preserve"> </w:t>
      </w:r>
      <w:r>
        <w:t xml:space="preserve">19.5%, up 100 bps year over year</w:t>
      </w:r>
    </w:p>
    <w:p>
      <w:pPr>
        <w:pStyle w:val="Compact"/>
        <w:numPr>
          <w:ilvl w:val="0"/>
          <w:numId w:val="1002"/>
        </w:numPr>
      </w:pPr>
      <w:r>
        <w:rPr>
          <w:b/>
          <w:bCs/>
        </w:rPr>
        <w:t xml:space="preserve">EMEA:</w:t>
      </w:r>
      <w:r>
        <w:t xml:space="preserve"> </w:t>
      </w:r>
      <w:r>
        <w:t xml:space="preserve">14.9%, up 370 bps</w:t>
      </w:r>
    </w:p>
    <w:p>
      <w:pPr>
        <w:pStyle w:val="Compact"/>
        <w:numPr>
          <w:ilvl w:val="0"/>
          <w:numId w:val="1002"/>
        </w:numPr>
      </w:pPr>
      <w:r>
        <w:rPr>
          <w:b/>
          <w:bCs/>
        </w:rPr>
        <w:t xml:space="preserve">APAC:</w:t>
      </w:r>
      <w:r>
        <w:t xml:space="preserve"> </w:t>
      </w:r>
      <w:r>
        <w:t xml:space="preserve">19.8%, up 350 bps</w:t>
      </w:r>
    </w:p>
    <w:p>
      <w:pPr>
        <w:pStyle w:val="FirstParagraph"/>
      </w:pPr>
      <w:r>
        <w:t xml:space="preserve">The primary pressure point is Americas productivity. Management has been adding production capacity and personnel, which creates temporary ramp inefficiencies. Investors should listen for whether those inefficiencies are peaking, whether price/cost remains favorable, and whether the “JCI Business System” is generating measurable operational benefits beyond isolated pilot sites.</w:t>
      </w:r>
    </w:p>
    <w:p>
      <w:pPr>
        <w:pStyle w:val="BodyText"/>
      </w:pPr>
      <w:r>
        <w:t xml:space="preserve">At the June investor event, management highlighted examples of substantial potential capacity gains—such as quadrupling output at one facility without major new capital investment. Those are compelling demonstrations, but the earnings call needs to establish whether similar benefits are scaling across the broader manufacturing and field-service network.</w:t>
      </w:r>
    </w:p>
    <w:bookmarkEnd w:id="11"/>
    <w:bookmarkStart w:id="12" w:name="X96da6929594572a67689c34cd92451406b92e4d"/>
    <w:p>
      <w:pPr>
        <w:pStyle w:val="Heading3"/>
      </w:pPr>
      <w:r>
        <w:t xml:space="preserve">3. Services: strong strategic opportunity, but a near-term soft spot</w:t>
      </w:r>
    </w:p>
    <w:p>
      <w:pPr>
        <w:pStyle w:val="FirstParagraph"/>
      </w:pPr>
      <w:r>
        <w:t xml:space="preserve">Services represent roughly one-third of JCI revenue and are strategically important because they raise lifecycle value, support margins, and improve customer retention.</w:t>
      </w:r>
    </w:p>
    <w:p>
      <w:pPr>
        <w:pStyle w:val="BodyText"/>
      </w:pPr>
      <w:r>
        <w:t xml:space="preserve">However, management flagged softer service orders in 2Q, largely due to the security-services business. JCI is deliberately rebalancing price and volume in that less differentiated area, accepting some volume pressure while protecting profitability. In contrast, HVAC service remains healthier, and data centers should eventually carry above-average service attachment and service intensity.</w:t>
      </w:r>
    </w:p>
    <w:p>
      <w:pPr>
        <w:pStyle w:val="BodyText"/>
      </w:pPr>
      <w:r>
        <w:t xml:space="preserve">Key questions:</w:t>
      </w:r>
    </w:p>
    <w:p>
      <w:pPr>
        <w:pStyle w:val="Compact"/>
        <w:numPr>
          <w:ilvl w:val="0"/>
          <w:numId w:val="1003"/>
        </w:numPr>
      </w:pPr>
      <w:r>
        <w:t xml:space="preserve">Is security-service weakness contained, or has it spread into other service categories?</w:t>
      </w:r>
    </w:p>
    <w:p>
      <w:pPr>
        <w:pStyle w:val="Compact"/>
        <w:numPr>
          <w:ilvl w:val="0"/>
          <w:numId w:val="1003"/>
        </w:numPr>
      </w:pPr>
      <w:r>
        <w:t xml:space="preserve">Has service order growth improved sequentially?</w:t>
      </w:r>
    </w:p>
    <w:p>
      <w:pPr>
        <w:pStyle w:val="Compact"/>
        <w:numPr>
          <w:ilvl w:val="0"/>
          <w:numId w:val="1003"/>
        </w:numPr>
      </w:pPr>
      <w:r>
        <w:t xml:space="preserve">Are new chiller installations converting into service contracts at the expected rate?</w:t>
      </w:r>
    </w:p>
    <w:p>
      <w:pPr>
        <w:pStyle w:val="Compact"/>
        <w:numPr>
          <w:ilvl w:val="0"/>
          <w:numId w:val="1003"/>
        </w:numPr>
      </w:pPr>
      <w:r>
        <w:t xml:space="preserve">Is the company making progress toward its stated aspiration for higher-single-digit service growth over time?</w:t>
      </w:r>
    </w:p>
    <w:p>
      <w:pPr>
        <w:pStyle w:val="FirstParagraph"/>
      </w:pPr>
      <w:r>
        <w:t xml:space="preserve">A recovery in service orders would strengthen the quality of the growth story. Continued softness would not necessarily break the thesis, but it could temper expectations for fiscal 2027.</w:t>
      </w:r>
    </w:p>
    <w:bookmarkEnd w:id="12"/>
    <w:bookmarkStart w:id="13" w:name="X959cdd2bacd0d132bd0503238986582ea5c0a89"/>
    <w:p>
      <w:pPr>
        <w:pStyle w:val="Heading3"/>
      </w:pPr>
      <w:r>
        <w:t xml:space="preserve">4. EMEA disruption and APAC growth durability</w:t>
      </w:r>
    </w:p>
    <w:p>
      <w:pPr>
        <w:pStyle w:val="FirstParagraph"/>
      </w:pPr>
      <w:r>
        <w:t xml:space="preserve">EMEA was the largest geographic uncertainty entering the quarter. In 2Q, organic sales grew just</w:t>
      </w:r>
      <w:r>
        <w:t xml:space="preserve"> </w:t>
      </w:r>
      <w:r>
        <w:rPr>
          <w:b/>
          <w:bCs/>
        </w:rPr>
        <w:t xml:space="preserve">1%</w:t>
      </w:r>
      <w:r>
        <w:t xml:space="preserve">, as growth in products and systems was offset by Middle East conflict-related disruption and lower non-recurring service volumes. Management said the Middle East accounts for roughly</w:t>
      </w:r>
      <w:r>
        <w:t xml:space="preserve"> </w:t>
      </w:r>
      <w:r>
        <w:rPr>
          <w:b/>
          <w:bCs/>
        </w:rPr>
        <w:t xml:space="preserve">2%–3%</w:t>
      </w:r>
      <w:r>
        <w:t xml:space="preserve"> </w:t>
      </w:r>
      <w:r>
        <w:t xml:space="preserve">of total company revenue but more than 10% of EMEA revenue, and it did not expect a full recovery in fiscal 3Q.</w:t>
      </w:r>
    </w:p>
    <w:p>
      <w:pPr>
        <w:pStyle w:val="BodyText"/>
      </w:pPr>
      <w:r>
        <w:t xml:space="preserve">Investors should watch for:</w:t>
      </w:r>
    </w:p>
    <w:p>
      <w:pPr>
        <w:pStyle w:val="Compact"/>
        <w:numPr>
          <w:ilvl w:val="0"/>
          <w:numId w:val="1004"/>
        </w:numPr>
      </w:pPr>
      <w:r>
        <w:t xml:space="preserve">The size of the Middle East revenue deferral and whether it is delayed versus lost.</w:t>
      </w:r>
    </w:p>
    <w:p>
      <w:pPr>
        <w:pStyle w:val="Compact"/>
        <w:numPr>
          <w:ilvl w:val="0"/>
          <w:numId w:val="1004"/>
        </w:numPr>
      </w:pPr>
      <w:r>
        <w:t xml:space="preserve">The implications for EMEA revenue and margins in 3Q and 4Q.</w:t>
      </w:r>
    </w:p>
    <w:p>
      <w:pPr>
        <w:pStyle w:val="Compact"/>
        <w:numPr>
          <w:ilvl w:val="0"/>
          <w:numId w:val="1004"/>
        </w:numPr>
      </w:pPr>
      <w:r>
        <w:t xml:space="preserve">Whether strong EMEA data-center orders are beginning to translate into more meaningful revenue growth.</w:t>
      </w:r>
    </w:p>
    <w:p>
      <w:pPr>
        <w:pStyle w:val="Compact"/>
        <w:numPr>
          <w:ilvl w:val="0"/>
          <w:numId w:val="1004"/>
        </w:numPr>
      </w:pPr>
      <w:r>
        <w:t xml:space="preserve">APAC’s ability to maintain positive growth after 2Q’s 13% organic-sales increase, particularly in China, semiconductors, biologics, and Southeast Asia.</w:t>
      </w:r>
    </w:p>
    <w:p>
      <w:pPr>
        <w:pStyle w:val="FirstParagraph"/>
      </w:pPr>
      <w:r>
        <w:t xml:space="preserve">Management had previously suggested APAC growth would moderate toward mid-single digits in the second half, with 3Q segment-margin performance closer to flat year over year. A better outcome could be an upside contributor; a sharper slowdown would reinforce concern that growth is overly concentrated in North American data centers.</w:t>
      </w:r>
    </w:p>
    <w:p>
      <w:r>
        <w:pict>
          <v:rect style="width:0;height:1.5pt" o:hralign="center" o:hrstd="t" o:hr="t"/>
        </w:pict>
      </w:r>
    </w:p>
    <w:bookmarkEnd w:id="13"/>
    <w:bookmarkEnd w:id="14"/>
    <w:bookmarkStart w:id="17" w:name="X84cbfb0eb860c01e344256e2bf9f10767e9fa7e"/>
    <w:p>
      <w:pPr>
        <w:pStyle w:val="Heading2"/>
      </w:pPr>
      <w:r>
        <w:t xml:space="preserve">The guidance question: hold, raise, or leave investors wanting more?</w:t>
      </w:r>
    </w:p>
    <w:p>
      <w:pPr>
        <w:pStyle w:val="FirstParagraph"/>
      </w:pPr>
      <w:r>
        <w:t xml:space="preserve">JCI raised fiscal 2026 adjusted EPS guidance in May to</w:t>
      </w:r>
      <w:r>
        <w:t xml:space="preserve"> </w:t>
      </w:r>
      <w:r>
        <w:rPr>
          <w:b/>
          <w:bCs/>
        </w:rPr>
        <w:t xml:space="preserve">~</w:t>
      </w:r>
      <m:oMath>
        <m:r>
          <m:t>4.85</m:t>
        </m:r>
        <m:r>
          <m:rPr>
            <m:sty m:val="p"/>
          </m:rPr>
          <m:t>*</m:t>
        </m:r>
        <m:r>
          <m:rPr>
            <m:sty m:val="p"/>
          </m:rPr>
          <m:t>*</m:t>
        </m:r>
        <m:r>
          <m:rPr>
            <m:sty m:val="p"/>
          </m:rPr>
          <m:t>,</m:t>
        </m:r>
        <m:r>
          <m:t>f</m:t>
        </m:r>
        <m:r>
          <m:t>r</m:t>
        </m:r>
        <m:r>
          <m:t>o</m:t>
        </m:r>
        <m:r>
          <m:t>m</m:t>
        </m:r>
        <m:r>
          <m:t>a</m:t>
        </m:r>
        <m:r>
          <m:t>p</m:t>
        </m:r>
        <m:r>
          <m:t>p</m:t>
        </m:r>
        <m:r>
          <m:t>r</m:t>
        </m:r>
        <m:r>
          <m:t>o</m:t>
        </m:r>
        <m:r>
          <m:t>x</m:t>
        </m:r>
        <m:r>
          <m:t>i</m:t>
        </m:r>
        <m:r>
          <m:t>m</m:t>
        </m:r>
        <m:r>
          <m:t>a</m:t>
        </m:r>
        <m:r>
          <m:t>t</m:t>
        </m:r>
        <m:r>
          <m:t>e</m:t>
        </m:r>
        <m:r>
          <m:t>l</m:t>
        </m:r>
        <m:r>
          <m:t>y</m:t>
        </m:r>
        <m:r>
          <m:rPr>
            <m:sty m:val="p"/>
          </m:rPr>
          <m:t>*</m:t>
        </m:r>
        <m:r>
          <m:rPr>
            <m:sty m:val="p"/>
          </m:rPr>
          <m:t>*</m:t>
        </m:r>
      </m:oMath>
      <w:r>
        <w:rPr>
          <w:b/>
          <w:bCs/>
        </w:rPr>
        <w:t xml:space="preserve">4.70</w:t>
      </w:r>
      <w:r>
        <w:t xml:space="preserve"> </w:t>
      </w:r>
      <w:r>
        <w:t xml:space="preserve">previously. The July report is likely too early for a major change unless data-center conversion, margin execution, or the macro backdrop has shifted materially.</w:t>
      </w:r>
    </w:p>
    <w:bookmarkStart w:id="15" w:name="what-would-be-constructive"/>
    <w:p>
      <w:pPr>
        <w:pStyle w:val="Heading3"/>
      </w:pPr>
      <w:r>
        <w:t xml:space="preserve">What would be constructive</w:t>
      </w:r>
    </w:p>
    <w:p>
      <w:pPr>
        <w:pStyle w:val="Compact"/>
        <w:numPr>
          <w:ilvl w:val="0"/>
          <w:numId w:val="1005"/>
        </w:numPr>
      </w:pPr>
      <w:r>
        <w:t xml:space="preserve">Maintaining or raising full-year EPS guidance while reaffirming ~6% organic growth.</w:t>
      </w:r>
    </w:p>
    <w:p>
      <w:pPr>
        <w:pStyle w:val="Compact"/>
        <w:numPr>
          <w:ilvl w:val="0"/>
          <w:numId w:val="1005"/>
        </w:numPr>
      </w:pPr>
      <w:r>
        <w:t xml:space="preserve">Stronger-than-expected 3Q margins with confidence in 4Q operating leverage.</w:t>
      </w:r>
    </w:p>
    <w:p>
      <w:pPr>
        <w:pStyle w:val="Compact"/>
        <w:numPr>
          <w:ilvl w:val="0"/>
          <w:numId w:val="1005"/>
        </w:numPr>
      </w:pPr>
      <w:r>
        <w:t xml:space="preserve">Continued high order growth and stable-to-improving backlog conversion assumptions.</w:t>
      </w:r>
    </w:p>
    <w:p>
      <w:pPr>
        <w:pStyle w:val="Compact"/>
        <w:numPr>
          <w:ilvl w:val="0"/>
          <w:numId w:val="1005"/>
        </w:numPr>
      </w:pPr>
      <w:r>
        <w:t xml:space="preserve">Evidence that capacity additions are no longer a meaningful productivity drag.</w:t>
      </w:r>
    </w:p>
    <w:p>
      <w:pPr>
        <w:pStyle w:val="Compact"/>
        <w:numPr>
          <w:ilvl w:val="0"/>
          <w:numId w:val="1005"/>
        </w:numPr>
      </w:pPr>
      <w:r>
        <w:t xml:space="preserve">Better service-orders commentary.</w:t>
      </w:r>
    </w:p>
    <w:bookmarkEnd w:id="15"/>
    <w:bookmarkStart w:id="16" w:name="what-could-disappoint"/>
    <w:p>
      <w:pPr>
        <w:pStyle w:val="Heading3"/>
      </w:pPr>
      <w:r>
        <w:t xml:space="preserve">What could disappoint</w:t>
      </w:r>
    </w:p>
    <w:p>
      <w:pPr>
        <w:pStyle w:val="Compact"/>
        <w:numPr>
          <w:ilvl w:val="0"/>
          <w:numId w:val="1006"/>
        </w:numPr>
      </w:pPr>
      <w:r>
        <w:t xml:space="preserve">Orders remain healthy but delivery timing extends due to power constraints or customer project delays.</w:t>
      </w:r>
    </w:p>
    <w:p>
      <w:pPr>
        <w:pStyle w:val="Compact"/>
        <w:numPr>
          <w:ilvl w:val="0"/>
          <w:numId w:val="1006"/>
        </w:numPr>
      </w:pPr>
      <w:r>
        <w:t xml:space="preserve">Americas margins fail to improve as manufacturing ramps.</w:t>
      </w:r>
    </w:p>
    <w:p>
      <w:pPr>
        <w:pStyle w:val="Compact"/>
        <w:numPr>
          <w:ilvl w:val="0"/>
          <w:numId w:val="1006"/>
        </w:numPr>
      </w:pPr>
      <w:r>
        <w:t xml:space="preserve">EMEA disruption proves more persistent than management expected.</w:t>
      </w:r>
    </w:p>
    <w:p>
      <w:pPr>
        <w:pStyle w:val="Compact"/>
        <w:numPr>
          <w:ilvl w:val="0"/>
          <w:numId w:val="1006"/>
        </w:numPr>
      </w:pPr>
      <w:r>
        <w:t xml:space="preserve">Services remain weak, especially outside core HVAC.</w:t>
      </w:r>
    </w:p>
    <w:p>
      <w:pPr>
        <w:pStyle w:val="Compact"/>
        <w:numPr>
          <w:ilvl w:val="0"/>
          <w:numId w:val="1006"/>
        </w:numPr>
      </w:pPr>
      <w:r>
        <w:t xml:space="preserve">Management keeps full-year guidance but signals a more conservative fiscal 2027 revenue-conversion outlook.</w:t>
      </w:r>
    </w:p>
    <w:p>
      <w:r>
        <w:pict>
          <v:rect style="width:0;height:1.5pt" o:hralign="center" o:hrstd="t" o:hr="t"/>
        </w:pict>
      </w:r>
    </w:p>
    <w:bookmarkEnd w:id="16"/>
    <w:bookmarkEnd w:id="17"/>
    <w:bookmarkStart w:id="18" w:name="Xadc738c23c75731097bad3d1f376a38c7ed502e"/>
    <w:p>
      <w:pPr>
        <w:pStyle w:val="Heading2"/>
      </w:pPr>
      <w:r>
        <w:t xml:space="preserve">Longer-term narrative: compelling, but expectations are building</w:t>
      </w:r>
    </w:p>
    <w:p>
      <w:pPr>
        <w:pStyle w:val="FirstParagraph"/>
      </w:pPr>
      <w:r>
        <w:t xml:space="preserve">At its June Gemba Day, JCI reiterated a more ambitious long-term framework:</w:t>
      </w:r>
    </w:p>
    <w:p>
      <w:pPr>
        <w:pStyle w:val="Compact"/>
        <w:numPr>
          <w:ilvl w:val="0"/>
          <w:numId w:val="1007"/>
        </w:numPr>
      </w:pPr>
      <w:r>
        <w:rPr>
          <w:b/>
          <w:bCs/>
        </w:rPr>
        <w:t xml:space="preserve">High-single-digit organic revenue growth</w:t>
      </w:r>
    </w:p>
    <w:p>
      <w:pPr>
        <w:pStyle w:val="Compact"/>
        <w:numPr>
          <w:ilvl w:val="0"/>
          <w:numId w:val="1007"/>
        </w:numPr>
      </w:pPr>
      <w:r>
        <w:rPr>
          <w:b/>
          <w:bCs/>
        </w:rPr>
        <w:t xml:space="preserve">30%+ operating leverage</w:t>
      </w:r>
    </w:p>
    <w:p>
      <w:pPr>
        <w:pStyle w:val="Compact"/>
        <w:numPr>
          <w:ilvl w:val="0"/>
          <w:numId w:val="1007"/>
        </w:numPr>
      </w:pPr>
      <w:r>
        <w:rPr>
          <w:b/>
          <w:bCs/>
        </w:rPr>
        <w:t xml:space="preserve">Double-digit EPS growth</w:t>
      </w:r>
    </w:p>
    <w:p>
      <w:pPr>
        <w:pStyle w:val="Compact"/>
        <w:numPr>
          <w:ilvl w:val="0"/>
          <w:numId w:val="1007"/>
        </w:numPr>
      </w:pPr>
      <w:r>
        <w:rPr>
          <w:b/>
          <w:bCs/>
        </w:rPr>
        <w:t xml:space="preserve">95%–100% free-cash-flow conversion</w:t>
      </w:r>
    </w:p>
    <w:p>
      <w:pPr>
        <w:pStyle w:val="FirstParagraph"/>
      </w:pPr>
      <w:r>
        <w:t xml:space="preserve">Management also said data centers accounted for roughly</w:t>
      </w:r>
      <w:r>
        <w:t xml:space="preserve"> </w:t>
      </w:r>
      <w:r>
        <w:rPr>
          <w:b/>
          <w:bCs/>
        </w:rPr>
        <w:t xml:space="preserve">12% of 2025 revenue</w:t>
      </w:r>
      <w:r>
        <w:t xml:space="preserve"> </w:t>
      </w:r>
      <w:r>
        <w:t xml:space="preserve">and could reach approximately</w:t>
      </w:r>
      <w:r>
        <w:t xml:space="preserve"> </w:t>
      </w:r>
      <w:r>
        <w:rPr>
          <w:b/>
          <w:bCs/>
        </w:rPr>
        <w:t xml:space="preserve">one-third of company revenue within five years</w:t>
      </w:r>
      <w:r>
        <w:t xml:space="preserve">. That is a powerful opportunity, supported by JCI’s chiller, air-handling, controls, fire-and-security, and emerging liquid-cooling capabilities.</w:t>
      </w:r>
    </w:p>
    <w:p>
      <w:pPr>
        <w:pStyle w:val="BodyText"/>
      </w:pPr>
      <w:r>
        <w:t xml:space="preserve">But it also raises the burden of proof. Investors will want to see that JCI can:</w:t>
      </w:r>
    </w:p>
    <w:p>
      <w:pPr>
        <w:pStyle w:val="Compact"/>
        <w:numPr>
          <w:ilvl w:val="0"/>
          <w:numId w:val="1008"/>
        </w:numPr>
      </w:pPr>
      <w:r>
        <w:t xml:space="preserve">Convert the large backlog without execution problems;</w:t>
      </w:r>
    </w:p>
    <w:p>
      <w:pPr>
        <w:pStyle w:val="Compact"/>
        <w:numPr>
          <w:ilvl w:val="0"/>
          <w:numId w:val="1008"/>
        </w:numPr>
      </w:pPr>
      <w:r>
        <w:t xml:space="preserve">Expand capacity without eroding returns;</w:t>
      </w:r>
    </w:p>
    <w:p>
      <w:pPr>
        <w:pStyle w:val="Compact"/>
        <w:numPr>
          <w:ilvl w:val="0"/>
          <w:numId w:val="1008"/>
        </w:numPr>
      </w:pPr>
      <w:r>
        <w:t xml:space="preserve">Preserve margins while scaling into large projects;</w:t>
      </w:r>
    </w:p>
    <w:p>
      <w:pPr>
        <w:pStyle w:val="Compact"/>
        <w:numPr>
          <w:ilvl w:val="0"/>
          <w:numId w:val="1008"/>
        </w:numPr>
      </w:pPr>
      <w:r>
        <w:t xml:space="preserve">Turn installed equipment into high-value service revenue; and</w:t>
      </w:r>
    </w:p>
    <w:p>
      <w:pPr>
        <w:pStyle w:val="Compact"/>
        <w:numPr>
          <w:ilvl w:val="0"/>
          <w:numId w:val="1008"/>
        </w:numPr>
      </w:pPr>
      <w:r>
        <w:t xml:space="preserve">Show that the business-system transformation is producing enterprise-level, repeatable benefits.</w:t>
      </w:r>
    </w:p>
    <w:p>
      <w:r>
        <w:pict>
          <v:rect style="width:0;height:1.5pt" o:hralign="center" o:hrstd="t" o:hr="t"/>
        </w:pict>
      </w:r>
    </w:p>
    <w:bookmarkEnd w:id="18"/>
    <w:bookmarkStart w:id="19" w:name="valuation-and-positioning-context"/>
    <w:p>
      <w:pPr>
        <w:pStyle w:val="Heading2"/>
      </w:pPr>
      <w:r>
        <w:t xml:space="preserve">Valuation and positioning context</w:t>
      </w:r>
    </w:p>
    <w:p>
      <w:pPr>
        <w:pStyle w:val="FirstParagraph"/>
      </w:pPr>
      <w:r>
        <w:t xml:space="preserve">JCI closed at</w:t>
      </w:r>
      <w:r>
        <w:t xml:space="preserve"> </w:t>
      </w:r>
      <m:oMath>
        <m:r>
          <m:t>140.31</m:t>
        </m:r>
        <m:r>
          <m:t>o</m:t>
        </m:r>
        <m:r>
          <m:t>n</m:t>
        </m:r>
        <m:r>
          <m:t>J</m:t>
        </m:r>
        <m:r>
          <m:t>u</m:t>
        </m:r>
        <m:r>
          <m:t>l</m:t>
        </m:r>
        <m:r>
          <m:t>y</m:t>
        </m:r>
        <m:r>
          <m:t>28</m:t>
        </m:r>
        <m:r>
          <m:rPr>
            <m:sty m:val="p"/>
          </m:rPr>
          <m:t>,</m:t>
        </m:r>
        <m:r>
          <m:t>2026</m:t>
        </m:r>
        <m:r>
          <m:rPr>
            <m:sty m:val="p"/>
          </m:rPr>
          <m:t>*</m:t>
        </m:r>
        <m:r>
          <m:rPr>
            <m:sty m:val="p"/>
          </m:rPr>
          <m:t>*</m:t>
        </m:r>
        <m:r>
          <m:rPr>
            <m:sty m:val="p"/>
          </m:rPr>
          <m:t>,</m:t>
        </m:r>
        <m:r>
          <m:t>d</m:t>
        </m:r>
        <m:r>
          <m:t>o</m:t>
        </m:r>
        <m:r>
          <m:t>w</m:t>
        </m:r>
        <m:r>
          <m:t>n</m:t>
        </m:r>
        <m:r>
          <m:t>m</m:t>
        </m:r>
        <m:r>
          <m:t>o</m:t>
        </m:r>
        <m:r>
          <m:t>d</m:t>
        </m:r>
        <m:r>
          <m:t>e</m:t>
        </m:r>
        <m:r>
          <m:t>s</m:t>
        </m:r>
        <m:r>
          <m:t>t</m:t>
        </m:r>
        <m:r>
          <m:t>l</m:t>
        </m:r>
        <m:r>
          <m:t>y</m:t>
        </m:r>
        <m:r>
          <m:t>f</m:t>
        </m:r>
        <m:r>
          <m:t>r</m:t>
        </m:r>
        <m:r>
          <m:t>o</m:t>
        </m:r>
        <m:r>
          <m:t>m</m:t>
        </m:r>
        <m:r>
          <m:rPr>
            <m:sty m:val="p"/>
          </m:rPr>
          <m:t>*</m:t>
        </m:r>
        <m:r>
          <m:rPr>
            <m:sty m:val="p"/>
          </m:rPr>
          <m:t>*</m:t>
        </m:r>
      </m:oMath>
      <w:r>
        <w:rPr>
          <w:b/>
          <w:bCs/>
        </w:rPr>
        <w:t xml:space="preserve">144.82 on May 5</w:t>
      </w:r>
      <w:r>
        <w:t xml:space="preserve">, the day before its fiscal 2Q release, despite the company’s raised FY26 outlook and constructive June investor event. The shares are nevertheless above the</w:t>
      </w:r>
      <w:r>
        <w:t xml:space="preserve"> </w:t>
      </w:r>
      <w:r>
        <w:rPr>
          <w:b/>
          <w:bCs/>
        </w:rPr>
        <w:t xml:space="preserve">$133.91</w:t>
      </w:r>
      <w:r>
        <w:t xml:space="preserve"> </w:t>
      </w:r>
      <w:r>
        <w:t xml:space="preserve">closing price on June 1, the date of the Gemba Day event.</w:t>
      </w:r>
    </w:p>
    <w:p>
      <w:pPr>
        <w:pStyle w:val="BodyText"/>
      </w:pPr>
      <w:r>
        <w:t xml:space="preserve">That trading pattern suggests investors recognize the strategic data-center and margin opportunity but remain cautious on valuation, conversion timing, and the durability of elevated orders. A clean beat alone may not be enough; the call will likely need to reinforce confidence in fiscal 2027 growth and margin progression.</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JCI is set up as an</w:t>
      </w:r>
      <w:r>
        <w:t xml:space="preserve"> </w:t>
      </w:r>
      <w:r>
        <w:rPr>
          <w:b/>
          <w:bCs/>
        </w:rPr>
        <w:t xml:space="preserve">execution-and-conversion story</w:t>
      </w:r>
      <w:r>
        <w:t xml:space="preserve">, not a traditional macro recovery story. The company has already established strong demand, record backlog, and an improving earnings algorithm. The central question for fiscal 3Q26 is whether management can validate that this demand is translating into durable revenue, margin, and cash-flow acceleration—while containing service softness, regional disruptions, and manufacturing-ramp costs.</w:t>
      </w:r>
    </w:p>
    <w:p>
      <w:pPr>
        <w:pStyle w:val="BodyText"/>
      </w:pPr>
      <w:r>
        <w:rPr>
          <w:b/>
          <w:bCs/>
        </w:rPr>
        <w:t xml:space="preserve">Most important watch items:</w:t>
      </w:r>
      <w:r>
        <w:t xml:space="preserve"> </w:t>
      </w:r>
      <w:r>
        <w:t xml:space="preserve">data-center orders and delivery timing, Americas margin progression, service-order trends, EMEA disruption, backlog conversion, and the confidence embedded in fiscal 2026 and early fiscal 2027 commentary.</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2026-07-29T00:20:57Z</dcterms:created>
  <dcterms:modified xsi:type="dcterms:W3CDTF">2026-07-29T00:20:57Z</dcterms:modified>
</cp:coreProperties>
</file>

<file path=docProps/custom.xml><?xml version="1.0" encoding="utf-8"?>
<Properties xmlns="http://schemas.openxmlformats.org/officeDocument/2006/custom-properties" xmlns:vt="http://schemas.openxmlformats.org/officeDocument/2006/docPropsVTypes"/>
</file>