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Johnson Controls International (JCI) — Q3 FY2026 Earnings Preview</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Pr>
                <w:rFonts w:ascii="Calibri" w:hAnsi="Calibri"/>
                <w:b/>
                <w:sz w:val="22"/>
              </w:rPr>
              <w:t>Company</w:t>
            </w:r>
          </w:p>
        </w:tc>
        <w:tc>
          <w:tcPr>
            <w:tcW w:type="dxa" w:w="2160"/>
          </w:tcPr>
          <w:p>
            <w:r>
              <w:rPr>
                <w:rFonts w:ascii="Calibri" w:hAnsi="Calibri"/>
                <w:sz w:val="22"/>
              </w:rPr>
              <w:t>Johnson Controls International plc</w:t>
            </w:r>
          </w:p>
        </w:tc>
        <w:tc>
          <w:tcPr>
            <w:tcW w:type="dxa" w:w="2160"/>
          </w:tcPr>
          <w:p>
            <w:r>
              <w:rPr>
                <w:rFonts w:ascii="Calibri" w:hAnsi="Calibri"/>
                <w:b/>
                <w:sz w:val="22"/>
              </w:rPr>
              <w:t>Ticker</w:t>
            </w:r>
          </w:p>
        </w:tc>
        <w:tc>
          <w:tcPr>
            <w:tcW w:type="dxa" w:w="2160"/>
          </w:tcPr>
          <w:p>
            <w:r>
              <w:rPr>
                <w:rFonts w:ascii="Calibri" w:hAnsi="Calibri"/>
                <w:sz w:val="22"/>
              </w:rPr>
              <w:t>JCI (NYSE)</w:t>
            </w:r>
          </w:p>
        </w:tc>
      </w:tr>
      <w:tr>
        <w:tc>
          <w:tcPr>
            <w:tcW w:type="dxa" w:w="2160"/>
          </w:tcPr>
          <w:p>
            <w:r>
              <w:rPr>
                <w:rFonts w:ascii="Calibri" w:hAnsi="Calibri"/>
                <w:b/>
                <w:sz w:val="22"/>
              </w:rPr>
              <w:t>Earnings Date</w:t>
            </w:r>
          </w:p>
        </w:tc>
        <w:tc>
          <w:tcPr>
            <w:tcW w:type="dxa" w:w="2160"/>
          </w:tcPr>
          <w:p>
            <w:r>
              <w:rPr>
                <w:rFonts w:ascii="Calibri" w:hAnsi="Calibri"/>
                <w:sz w:val="22"/>
              </w:rPr>
              <w:t>July 29, 2026 (Before Market Open)</w:t>
            </w:r>
          </w:p>
        </w:tc>
        <w:tc>
          <w:tcPr>
            <w:tcW w:type="dxa" w:w="2160"/>
          </w:tcPr>
          <w:p>
            <w:r>
              <w:rPr>
                <w:rFonts w:ascii="Calibri" w:hAnsi="Calibri"/>
                <w:b/>
                <w:sz w:val="22"/>
              </w:rPr>
              <w:t>Fiscal Period</w:t>
            </w:r>
          </w:p>
        </w:tc>
        <w:tc>
          <w:tcPr>
            <w:tcW w:type="dxa" w:w="2160"/>
          </w:tcPr>
          <w:p>
            <w:r>
              <w:rPr>
                <w:rFonts w:ascii="Calibri" w:hAnsi="Calibri"/>
                <w:sz w:val="22"/>
              </w:rPr>
              <w:t>Q3 FY2026 (Quarter Ending June 30, 2026)</w:t>
            </w:r>
          </w:p>
        </w:tc>
      </w:tr>
      <w:tr>
        <w:tc>
          <w:tcPr>
            <w:tcW w:type="dxa" w:w="2160"/>
          </w:tcPr>
          <w:p>
            <w:r>
              <w:rPr>
                <w:rFonts w:ascii="Calibri" w:hAnsi="Calibri"/>
                <w:b/>
                <w:sz w:val="22"/>
              </w:rPr>
              <w:t>Prepared</w:t>
            </w:r>
          </w:p>
        </w:tc>
        <w:tc>
          <w:tcPr>
            <w:tcW w:type="dxa" w:w="2160"/>
          </w:tcPr>
          <w:p>
            <w:r>
              <w:rPr>
                <w:rFonts w:ascii="Calibri" w:hAnsi="Calibri"/>
                <w:sz w:val="22"/>
              </w:rPr>
              <w:t>July 28, 2026</w:t>
            </w:r>
          </w:p>
        </w:tc>
        <w:tc>
          <w:tcPr>
            <w:tcW w:type="dxa" w:w="2160"/>
          </w:tcPr>
          <w:p>
            <w:r>
              <w:rPr>
                <w:rFonts w:ascii="Calibri" w:hAnsi="Calibri"/>
                <w:b/>
                <w:sz w:val="22"/>
              </w:rPr>
              <w:t>Sector ETF</w:t>
            </w:r>
          </w:p>
        </w:tc>
        <w:tc>
          <w:tcPr>
            <w:tcW w:type="dxa" w:w="2160"/>
          </w:tcPr>
          <w:p>
            <w:r>
              <w:rPr>
                <w:rFonts w:ascii="Calibri" w:hAnsi="Calibri"/>
                <w:sz w:val="22"/>
              </w:rPr>
              <w:t>XLI (Industrials)</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is constructive but not easy — consensus is a moderate bar with Q3 EPS at $1.30 and revenue at $6.45B, both above prior-year actuals, and the biggest swing factor is whether orders momentum (30% in Q2, 39% in Q1) holds and backlog conversion accelerates as guided.</w:t>
      </w:r>
    </w:p>
    <w:p>
      <w:r>
        <w:rPr>
          <w:rFonts w:ascii="Calibri" w:hAnsi="Calibri"/>
          <w:color w:val="525866"/>
          <w:sz w:val="22"/>
        </w:rPr>
        <w:t xml:space="preserve">Heading into Q3 FY2026, JCI carries one of the strongest demand backdrops in its history — a record $20B backlog (up 26% YoY) and two consecutive quarters of 30%+ order growth driven by data center and life sciences demand — yet the stock has given back roughly 2% since the Q2 print while XLI is up ~3%, suggesting the market is demanding proof of execution rather than rewarding the pipeline. </w:t>
      </w:r>
      <w:r>
        <w:rPr>
          <w:rFonts w:ascii="Calibri" w:hAnsi="Calibri"/>
          <w:color w:val="525866"/>
          <w:sz w:val="22"/>
        </w:rPr>
        <w:t xml:space="preserve">Consensus sits at $1.30 adjusted EPS and $6.45B revenue for Q3, both above management's own guidance of ~$1.28 EPS and ~6% organic growth, implying the Street has already baked in a modest beat; the bar is achievable but not low. </w:t>
      </w:r>
      <w:r>
        <w:rPr>
          <w:rFonts w:ascii="Calibri" w:hAnsi="Calibri"/>
          <w:color w:val="525866"/>
          <w:sz w:val="22"/>
        </w:rPr>
        <w:t xml:space="preserve">Estimate revisions have been modestly positive since the Q2 print (+$0.015 on Q3 EPS, +$0.036 on FY EPS), tracking in line with the raised guidance, with no meaningful divergence between consensus and the company's own algorithm. </w:t>
      </w:r>
      <w:r>
        <w:rPr>
          <w:rFonts w:ascii="Calibri" w:hAnsi="Calibri"/>
          <w:color w:val="525866"/>
          <w:sz w:val="22"/>
        </w:rPr>
        <w:t xml:space="preserve">The stock's underperformance vs. XLI since May 6 reflects investor caution around the pace of backlog conversion — management flagged that power infrastructure delays at data center customers are pushing ~30% of backlog beyond 12 months — and the ongoing security service rebalancing headwind. </w:t>
      </w:r>
      <w:r>
        <w:rPr>
          <w:rFonts w:ascii="Calibri" w:hAnsi="Calibri"/>
          <w:color w:val="525866"/>
          <w:sz w:val="22"/>
        </w:rPr>
        <w:t xml:space="preserve">The key wildcard is </w:t>
      </w:r>
      <w:r>
        <w:rPr>
          <w:rFonts w:ascii="Calibri" w:hAnsi="Calibri"/>
          <w:b/>
          <w:color w:val="525866"/>
          <w:sz w:val="22"/>
        </w:rPr>
        <w:t>CARR's blowout Q2 report today (data center orders up 4x YoY, full-year data center revenue raised to $2B)</w:t>
      </w:r>
      <w:r>
        <w:rPr>
          <w:rFonts w:ascii="Calibri" w:hAnsi="Calibri"/>
          <w:color w:val="525866"/>
          <w:sz w:val="22"/>
        </w:rPr>
        <w:t xml:space="preserve"> which is a strong read-through for JCI's own data center demand and could reset expectations higher heading into tomorrow's print.</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moderate bar — Q3 EPS of $1.30 sits slightly above management's $1.28 guide, and revenue of $6.45B implies ~6.6% YoY growth. </w:t>
      </w:r>
      <w:r>
        <w:rPr>
          <w:rFonts w:ascii="Calibri" w:hAnsi="Calibri"/>
          <w:b/>
          <w:color w:val="525866"/>
          <w:sz w:val="22"/>
        </w:rPr>
        <w:t>Orders growth and EBITA margin are the bigger swing factors</w:t>
      </w:r>
      <w:r>
        <w:rPr>
          <w:rFonts w:ascii="Calibri" w:hAnsi="Calibri"/>
          <w:color w:val="525866"/>
          <w:sz w:val="22"/>
        </w:rPr>
        <w:t>; any acceleration in backlog conversion or margin upside from operating leverage would be the catalyst for a meaningful beat.</w:t>
      </w:r>
    </w:p>
    <w:p>
      <w:pPr>
        <w:pStyle w:val="Heading3"/>
      </w:pPr>
      <w:r>
        <w:rPr>
          <w:rFonts w:ascii="Calibri" w:hAnsi="Calibri"/>
          <w:b/>
          <w:color w:val="3B4259"/>
          <w:sz w:val="24"/>
        </w:rPr>
        <w:t>Table 1 — Current Quarter Snapshot (Q3 FY2026)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Q2 FY2026 Actual (Last Quarter)</w:t>
            </w:r>
          </w:p>
        </w:tc>
        <w:tc>
          <w:tcPr>
            <w:tcW w:type="dxa" w:w="1234"/>
            <w:shd w:val="clear" w:color="auto" w:fill="3B4259"/>
          </w:tcPr>
          <w:p>
            <w:r>
              <w:rPr>
                <w:rFonts w:ascii="Calibri" w:hAnsi="Calibri"/>
                <w:b/>
                <w:color w:val="FFFFFF"/>
                <w:sz w:val="22"/>
              </w:rPr>
              <w:t>Q3 FY2025 Actual (Prior Year)</w:t>
            </w:r>
          </w:p>
        </w:tc>
        <w:tc>
          <w:tcPr>
            <w:tcW w:type="dxa" w:w="1234"/>
            <w:shd w:val="clear" w:color="auto" w:fill="3B4259"/>
          </w:tcPr>
          <w:p>
            <w:r>
              <w:rPr>
                <w:rFonts w:ascii="Calibri" w:hAnsi="Calibri"/>
                <w:b/>
                <w:color w:val="FFFFFF"/>
                <w:sz w:val="22"/>
              </w:rPr>
              <w:t>Q3 FY2026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Q3 FY2026 Guidance</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Revenue (Net Sales — Operating)</w:t>
            </w:r>
          </w:p>
        </w:tc>
        <w:tc>
          <w:tcPr>
            <w:tcW w:type="dxa" w:w="1234"/>
          </w:tcPr>
          <w:p>
            <w:r>
              <w:rPr>
                <w:rFonts w:ascii="Calibri" w:hAnsi="Calibri"/>
                <w:sz w:val="22"/>
              </w:rPr>
              <w:t>$6.142B</w:t>
            </w:r>
          </w:p>
        </w:tc>
        <w:tc>
          <w:tcPr>
            <w:tcW w:type="dxa" w:w="1234"/>
          </w:tcPr>
          <w:p>
            <w:r>
              <w:rPr>
                <w:rFonts w:ascii="Calibri" w:hAnsi="Calibri"/>
                <w:sz w:val="22"/>
              </w:rPr>
              <w:t>$6.052B</w:t>
            </w:r>
          </w:p>
        </w:tc>
        <w:tc>
          <w:tcPr>
            <w:tcW w:type="dxa" w:w="1234"/>
          </w:tcPr>
          <w:p>
            <w:r>
              <w:rPr>
                <w:rFonts w:ascii="Calibri" w:hAnsi="Calibri"/>
                <w:sz w:val="22"/>
              </w:rPr>
              <w:t>$6.451B</w:t>
            </w:r>
          </w:p>
        </w:tc>
        <w:tc>
          <w:tcPr>
            <w:tcW w:type="dxa" w:w="1234"/>
          </w:tcPr>
          <w:p>
            <w:r>
              <w:rPr>
                <w:rFonts w:ascii="Calibri" w:hAnsi="Calibri"/>
                <w:sz w:val="22"/>
              </w:rPr>
              <w:t>+6.6%</w:t>
            </w:r>
          </w:p>
        </w:tc>
        <w:tc>
          <w:tcPr>
            <w:tcW w:type="dxa" w:w="1234"/>
          </w:tcPr>
          <w:p>
            <w:r>
              <w:rPr>
                <w:rFonts w:ascii="Calibri" w:hAnsi="Calibri"/>
                <w:sz w:val="22"/>
              </w:rPr>
              <w:t>~6% organic growth</w:t>
            </w:r>
          </w:p>
        </w:tc>
        <w:tc>
          <w:tcPr>
            <w:tcW w:type="dxa" w:w="1234"/>
          </w:tcPr>
          <w:p>
            <w:r>
              <w:rPr>
                <w:rFonts w:ascii="Calibri" w:hAnsi="Calibri"/>
                <w:sz w:val="22"/>
              </w:rPr>
              <w:t>+~0.6% above guide midpoint</w:t>
            </w:r>
          </w:p>
        </w:tc>
      </w:tr>
      <w:tr>
        <w:tc>
          <w:tcPr>
            <w:tcW w:type="dxa" w:w="1234"/>
          </w:tcPr>
          <w:p>
            <w:r>
              <w:rPr>
                <w:rFonts w:ascii="Calibri" w:hAnsi="Calibri"/>
                <w:sz w:val="22"/>
              </w:rPr>
              <w:t>Adj. EPS (Diluted — Operating)</w:t>
            </w:r>
          </w:p>
        </w:tc>
        <w:tc>
          <w:tcPr>
            <w:tcW w:type="dxa" w:w="1234"/>
          </w:tcPr>
          <w:p>
            <w:r>
              <w:rPr>
                <w:rFonts w:ascii="Calibri" w:hAnsi="Calibri"/>
                <w:sz w:val="22"/>
              </w:rPr>
              <w:t>$1.19</w:t>
            </w:r>
          </w:p>
        </w:tc>
        <w:tc>
          <w:tcPr>
            <w:tcW w:type="dxa" w:w="1234"/>
          </w:tcPr>
          <w:p>
            <w:r>
              <w:rPr>
                <w:rFonts w:ascii="Calibri" w:hAnsi="Calibri"/>
                <w:sz w:val="22"/>
              </w:rPr>
              <w:t>$1.05</w:t>
            </w:r>
          </w:p>
        </w:tc>
        <w:tc>
          <w:tcPr>
            <w:tcW w:type="dxa" w:w="1234"/>
          </w:tcPr>
          <w:p>
            <w:r>
              <w:rPr>
                <w:rFonts w:ascii="Calibri" w:hAnsi="Calibri"/>
                <w:sz w:val="22"/>
              </w:rPr>
              <w:t>$1.30</w:t>
            </w:r>
          </w:p>
        </w:tc>
        <w:tc>
          <w:tcPr>
            <w:tcW w:type="dxa" w:w="1234"/>
          </w:tcPr>
          <w:p>
            <w:r>
              <w:rPr>
                <w:rFonts w:ascii="Calibri" w:hAnsi="Calibri"/>
                <w:sz w:val="22"/>
              </w:rPr>
              <w:t>+23.8%</w:t>
            </w:r>
          </w:p>
        </w:tc>
        <w:tc>
          <w:tcPr>
            <w:tcW w:type="dxa" w:w="1234"/>
          </w:tcPr>
          <w:p>
            <w:r>
              <w:rPr>
                <w:rFonts w:ascii="Calibri" w:hAnsi="Calibri"/>
                <w:sz w:val="22"/>
              </w:rPr>
              <w:t>~$1.28</w:t>
            </w:r>
          </w:p>
        </w:tc>
        <w:tc>
          <w:tcPr>
            <w:tcW w:type="dxa" w:w="1234"/>
          </w:tcPr>
          <w:p>
            <w:r>
              <w:rPr>
                <w:rFonts w:ascii="Calibri" w:hAnsi="Calibri"/>
                <w:sz w:val="22"/>
              </w:rPr>
              <w:t>+1.6% above guide</w:t>
            </w:r>
          </w:p>
        </w:tc>
      </w:tr>
      <w:tr>
        <w:tc>
          <w:tcPr>
            <w:tcW w:type="dxa" w:w="1234"/>
          </w:tcPr>
          <w:p>
            <w:r>
              <w:rPr>
                <w:rFonts w:ascii="Calibri" w:hAnsi="Calibri"/>
                <w:sz w:val="22"/>
              </w:rPr>
              <w:t>EBITA — Operating</w:t>
            </w:r>
          </w:p>
        </w:tc>
        <w:tc>
          <w:tcPr>
            <w:tcW w:type="dxa" w:w="1234"/>
          </w:tcPr>
          <w:p>
            <w:r>
              <w:rPr>
                <w:rFonts w:ascii="Calibri" w:hAnsi="Calibri"/>
                <w:sz w:val="22"/>
              </w:rPr>
              <w:t>$1.139B</w:t>
            </w:r>
          </w:p>
        </w:tc>
        <w:tc>
          <w:tcPr>
            <w:tcW w:type="dxa" w:w="1234"/>
          </w:tcPr>
          <w:p>
            <w:r>
              <w:rPr>
                <w:rFonts w:ascii="Calibri" w:hAnsi="Calibri"/>
                <w:sz w:val="22"/>
              </w:rPr>
              <w:t>$1.068B</w:t>
            </w:r>
          </w:p>
        </w:tc>
        <w:tc>
          <w:tcPr>
            <w:tcW w:type="dxa" w:w="1234"/>
          </w:tcPr>
          <w:p>
            <w:r>
              <w:rPr>
                <w:rFonts w:ascii="Calibri" w:hAnsi="Calibri"/>
                <w:sz w:val="22"/>
              </w:rPr>
              <w:t>$1.211B</w:t>
            </w:r>
          </w:p>
        </w:tc>
        <w:tc>
          <w:tcPr>
            <w:tcW w:type="dxa" w:w="1234"/>
          </w:tcPr>
          <w:p>
            <w:r>
              <w:rPr>
                <w:rFonts w:ascii="Calibri" w:hAnsi="Calibri"/>
                <w:sz w:val="22"/>
              </w:rPr>
              <w:t>+13.4%</w:t>
            </w:r>
          </w:p>
        </w:tc>
        <w:tc>
          <w:tcPr>
            <w:tcW w:type="dxa" w:w="1234"/>
          </w:tcPr>
          <w:p>
            <w:r>
              <w:rPr>
                <w:rFonts w:ascii="Calibri" w:hAnsi="Calibri"/>
                <w:sz w:val="22"/>
              </w:rPr>
              <w:t>~45% operating leverage on ~6% organic growth</w:t>
            </w:r>
          </w:p>
        </w:tc>
        <w:tc>
          <w:tcPr>
            <w:tcW w:type="dxa" w:w="1234"/>
          </w:tcPr>
          <w:p>
            <w:r>
              <w:rPr>
                <w:rFonts w:ascii="Calibri" w:hAnsi="Calibri"/>
                <w:sz w:val="22"/>
              </w:rPr>
              <w:t>N/A (leverage-based guide)</w:t>
            </w:r>
          </w:p>
        </w:tc>
      </w:tr>
      <w:tr>
        <w:tc>
          <w:tcPr>
            <w:tcW w:type="dxa" w:w="1234"/>
          </w:tcPr>
          <w:p>
            <w:r>
              <w:rPr>
                <w:rFonts w:ascii="Calibri" w:hAnsi="Calibri"/>
                <w:sz w:val="22"/>
              </w:rPr>
              <w:t>EBITA Margin — Operating</w:t>
            </w:r>
          </w:p>
        </w:tc>
        <w:tc>
          <w:tcPr>
            <w:tcW w:type="dxa" w:w="1234"/>
          </w:tcPr>
          <w:p>
            <w:r>
              <w:rPr>
                <w:rFonts w:ascii="Calibri" w:hAnsi="Calibri"/>
                <w:sz w:val="22"/>
              </w:rPr>
              <w:t>18.5%</w:t>
            </w:r>
          </w:p>
        </w:tc>
        <w:tc>
          <w:tcPr>
            <w:tcW w:type="dxa" w:w="1234"/>
          </w:tcPr>
          <w:p>
            <w:r>
              <w:rPr>
                <w:rFonts w:ascii="Calibri" w:hAnsi="Calibri"/>
                <w:sz w:val="22"/>
              </w:rPr>
              <w:t>17.6%</w:t>
            </w:r>
          </w:p>
        </w:tc>
        <w:tc>
          <w:tcPr>
            <w:tcW w:type="dxa" w:w="1234"/>
          </w:tcPr>
          <w:p>
            <w:r>
              <w:rPr>
                <w:rFonts w:ascii="Calibri" w:hAnsi="Calibri"/>
                <w:sz w:val="22"/>
              </w:rPr>
              <w:t>18.8%</w:t>
            </w:r>
          </w:p>
        </w:tc>
        <w:tc>
          <w:tcPr>
            <w:tcW w:type="dxa" w:w="1234"/>
          </w:tcPr>
          <w:p>
            <w:r>
              <w:rPr>
                <w:rFonts w:ascii="Calibri" w:hAnsi="Calibri"/>
                <w:sz w:val="22"/>
              </w:rPr>
              <w:t>+120 bps</w:t>
            </w:r>
          </w:p>
        </w:tc>
        <w:tc>
          <w:tcPr>
            <w:tcW w:type="dxa" w:w="1234"/>
          </w:tcPr>
          <w:p>
            <w:r>
              <w:rPr>
                <w:rFonts w:ascii="Calibri" w:hAnsi="Calibri"/>
                <w:sz w:val="22"/>
              </w:rPr>
              <w:t>~45% operating leverage implies ~18.5–19.0%</w:t>
            </w:r>
          </w:p>
        </w:tc>
        <w:tc>
          <w:tcPr>
            <w:tcW w:type="dxa" w:w="1234"/>
          </w:tcPr>
          <w:p>
            <w:r>
              <w:rPr>
                <w:rFonts w:ascii="Calibri" w:hAnsi="Calibri"/>
                <w:sz w:val="22"/>
              </w:rPr>
              <w:t>In line with guide</w:t>
            </w:r>
          </w:p>
        </w:tc>
      </w:tr>
      <w:tr>
        <w:tc>
          <w:tcPr>
            <w:tcW w:type="dxa" w:w="1234"/>
          </w:tcPr>
          <w:p>
            <w:r>
              <w:rPr>
                <w:rFonts w:ascii="Calibri" w:hAnsi="Calibri"/>
                <w:sz w:val="22"/>
              </w:rPr>
              <w:t>Orders Growth (Organic, Building Solutions)</w:t>
            </w:r>
          </w:p>
        </w:tc>
        <w:tc>
          <w:tcPr>
            <w:tcW w:type="dxa" w:w="1234"/>
          </w:tcPr>
          <w:p>
            <w:r>
              <w:rPr>
                <w:rFonts w:ascii="Calibri" w:hAnsi="Calibri"/>
                <w:sz w:val="22"/>
              </w:rPr>
              <w:t>+30% (Q2 FY2026 actual)</w:t>
            </w:r>
          </w:p>
        </w:tc>
        <w:tc>
          <w:tcPr>
            <w:tcW w:type="dxa" w:w="1234"/>
          </w:tcPr>
          <w:p>
            <w:r>
              <w:rPr>
                <w:rFonts w:ascii="Calibri" w:hAnsi="Calibri"/>
                <w:sz w:val="22"/>
              </w:rPr>
              <w:t>+2% (Q3 FY2025 actual)</w:t>
            </w:r>
          </w:p>
        </w:tc>
        <w:tc>
          <w:tcPr>
            <w:tcW w:type="dxa" w:w="1234"/>
          </w:tcPr>
          <w:p>
            <w:r>
              <w:rPr>
                <w:rFonts w:ascii="Calibri" w:hAnsi="Calibri"/>
                <w:sz w:val="22"/>
              </w:rPr>
              <w:t>N/A — not in VA consensus</w:t>
            </w:r>
          </w:p>
        </w:tc>
        <w:tc>
          <w:tcPr>
            <w:tcW w:type="dxa" w:w="1234"/>
          </w:tcPr>
          <w:p>
            <w:r>
              <w:rPr>
                <w:rFonts w:ascii="Calibri" w:hAnsi="Calibri"/>
                <w:sz w:val="22"/>
              </w:rPr>
              <w:t>N/A</w:t>
            </w:r>
          </w:p>
        </w:tc>
        <w:tc>
          <w:tcPr>
            <w:tcW w:type="dxa" w:w="1234"/>
          </w:tcPr>
          <w:p>
            <w:r>
              <w:rPr>
                <w:rFonts w:ascii="Calibri" w:hAnsi="Calibri"/>
                <w:sz w:val="22"/>
              </w:rPr>
              <w:t>No formal guidance; pipeline described as “very healthy”</w:t>
            </w:r>
          </w:p>
        </w:tc>
        <w:tc>
          <w:tcPr>
            <w:tcW w:type="dxa" w:w="1234"/>
          </w:tcPr>
          <w:p>
            <w:r>
              <w:rPr>
                <w:rFonts w:ascii="Calibri" w:hAnsi="Calibri"/>
                <w:sz w:val="22"/>
              </w:rPr>
              <w:t>N/A</w:t>
            </w:r>
          </w:p>
        </w:tc>
      </w:tr>
      <w:tr>
        <w:tc>
          <w:tcPr>
            <w:tcW w:type="dxa" w:w="1234"/>
          </w:tcPr>
          <w:p>
            <w:r>
              <w:rPr>
                <w:rFonts w:ascii="Calibri" w:hAnsi="Calibri"/>
                <w:sz w:val="22"/>
              </w:rPr>
              <w:t>Backlog (Building Solutions)</w:t>
            </w:r>
          </w:p>
        </w:tc>
        <w:tc>
          <w:tcPr>
            <w:tcW w:type="dxa" w:w="1234"/>
          </w:tcPr>
          <w:p>
            <w:r>
              <w:rPr>
                <w:rFonts w:ascii="Calibri" w:hAnsi="Calibri"/>
                <w:sz w:val="22"/>
              </w:rPr>
              <w:t>$20.0B (record)</w:t>
            </w:r>
          </w:p>
        </w:tc>
        <w:tc>
          <w:tcPr>
            <w:tcW w:type="dxa" w:w="1234"/>
          </w:tcPr>
          <w:p>
            <w:r>
              <w:rPr>
                <w:rFonts w:ascii="Calibri" w:hAnsi="Calibri"/>
                <w:sz w:val="22"/>
              </w:rPr>
              <w:t>$16.2B</w:t>
            </w:r>
          </w:p>
        </w:tc>
        <w:tc>
          <w:tcPr>
            <w:tcW w:type="dxa" w:w="1234"/>
          </w:tcPr>
          <w:p>
            <w:r>
              <w:rPr>
                <w:rFonts w:ascii="Calibri" w:hAnsi="Calibri"/>
                <w:sz w:val="22"/>
              </w:rPr>
              <w:t>N/A — not in VA consensus</w:t>
            </w:r>
          </w:p>
        </w:tc>
        <w:tc>
          <w:tcPr>
            <w:tcW w:type="dxa" w:w="1234"/>
          </w:tcPr>
          <w:p>
            <w:r>
              <w:rPr>
                <w:rFonts w:ascii="Calibri" w:hAnsi="Calibri"/>
                <w:sz w:val="22"/>
              </w:rPr>
              <w:t>+23.5% YoY (Q2 FY2026 vs Q3 FY2025)</w:t>
            </w:r>
          </w:p>
        </w:tc>
        <w:tc>
          <w:tcPr>
            <w:tcW w:type="dxa" w:w="1234"/>
          </w:tcPr>
          <w:p>
            <w:r>
              <w:rPr>
                <w:rFonts w:ascii="Calibri" w:hAnsi="Calibri"/>
                <w:sz w:val="22"/>
              </w:rPr>
              <w:t>No formal guidance; ~70% to convert in 12 months</w:t>
            </w:r>
          </w:p>
        </w:tc>
        <w:tc>
          <w:tcPr>
            <w:tcW w:type="dxa" w:w="1234"/>
          </w:tcPr>
          <w:p>
            <w:r>
              <w:rPr>
                <w:rFonts w:ascii="Calibri" w:hAnsi="Calibri"/>
                <w:sz w:val="22"/>
              </w:rPr>
              <w:t>N/A</w:t>
            </w:r>
          </w:p>
        </w:tc>
      </w:tr>
      <w:tr>
        <w:tc>
          <w:tcPr>
            <w:tcW w:type="dxa" w:w="1234"/>
          </w:tcPr>
          <w:p>
            <w:r>
              <w:rPr>
                <w:rFonts w:ascii="Calibri" w:hAnsi="Calibri"/>
                <w:sz w:val="22"/>
              </w:rPr>
              <w:t>Free Cash Flow</w:t>
            </w:r>
          </w:p>
        </w:tc>
        <w:tc>
          <w:tcPr>
            <w:tcW w:type="dxa" w:w="1234"/>
          </w:tcPr>
          <w:p>
            <w:r>
              <w:rPr>
                <w:rFonts w:ascii="Calibri" w:hAnsi="Calibri"/>
                <w:sz w:val="22"/>
              </w:rPr>
              <w:t>$604M</w:t>
            </w:r>
          </w:p>
        </w:tc>
        <w:tc>
          <w:tcPr>
            <w:tcW w:type="dxa" w:w="1234"/>
          </w:tcPr>
          <w:p>
            <w:r>
              <w:rPr>
                <w:rFonts w:ascii="Calibri" w:hAnsi="Calibri"/>
                <w:sz w:val="22"/>
              </w:rPr>
              <w:t>$693M</w:t>
            </w:r>
          </w:p>
        </w:tc>
        <w:tc>
          <w:tcPr>
            <w:tcW w:type="dxa" w:w="1234"/>
          </w:tcPr>
          <w:p>
            <w:r>
              <w:rPr>
                <w:rFonts w:ascii="Calibri" w:hAnsi="Calibri"/>
                <w:sz w:val="22"/>
              </w:rPr>
              <w:t>$808M</w:t>
            </w:r>
          </w:p>
        </w:tc>
        <w:tc>
          <w:tcPr>
            <w:tcW w:type="dxa" w:w="1234"/>
          </w:tcPr>
          <w:p>
            <w:r>
              <w:rPr>
                <w:rFonts w:ascii="Calibri" w:hAnsi="Calibri"/>
                <w:sz w:val="22"/>
              </w:rPr>
              <w:t>+16.6%</w:t>
            </w:r>
          </w:p>
        </w:tc>
        <w:tc>
          <w:tcPr>
            <w:tcW w:type="dxa" w:w="1234"/>
          </w:tcPr>
          <w:p>
            <w:r>
              <w:rPr>
                <w:rFonts w:ascii="Calibri" w:hAnsi="Calibri"/>
                <w:sz w:val="22"/>
              </w:rPr>
              <w:t>~100% FCF conversion (FY guide)</w:t>
            </w:r>
          </w:p>
        </w:tc>
        <w:tc>
          <w:tcPr>
            <w:tcW w:type="dxa" w:w="1234"/>
          </w:tcPr>
          <w:p>
            <w:r>
              <w:rPr>
                <w:rFonts w:ascii="Calibri" w:hAnsi="Calibri"/>
                <w:sz w:val="22"/>
              </w:rPr>
              <w:t>N/A (FY-level guide only)</w:t>
            </w:r>
          </w:p>
        </w:tc>
      </w:tr>
    </w:tbl>
    <w:p>
      <w:r>
        <w:rPr>
          <w:rFonts w:ascii="Calibri" w:hAnsi="Calibri"/>
          <w:i/>
          <w:color w:val="525866"/>
          <w:sz w:val="22"/>
        </w:rPr>
        <w:t>Source: Visible Alpha Consensus and Actuals Data; JCI Q2 FY2026 Earnings Call (May 6, 2026). All VA-sourced figures cited per Visible Alpha dataset.</w:t>
      </w:r>
    </w:p>
    <w:p>
      <w:pPr>
        <w:pStyle w:val="Heading3"/>
      </w:pPr>
      <w:r>
        <w:rPr>
          <w:rFonts w:ascii="Calibri" w:hAnsi="Calibri"/>
          <w:b/>
          <w:color w:val="3B4259"/>
          <w:sz w:val="24"/>
        </w:rPr>
        <w:t>Table 2 — Beat/Miss History (Last 8 Quarters, Top 2 KPIs)</w:t>
      </w:r>
    </w:p>
    <w:p>
      <w:pPr>
        <w:pStyle w:val="Heading4"/>
      </w:pPr>
      <w:r>
        <w:rPr>
          <w:rFonts w:ascii="Calibri" w:hAnsi="Calibri"/>
          <w:b/>
          <w:color w:val="3B4259"/>
          <w:sz w:val="22"/>
        </w:rPr>
        <w:t>Adj. EPS (Diluted — Operating)</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Q3 FY2024</w:t>
            </w:r>
          </w:p>
        </w:tc>
        <w:tc>
          <w:tcPr>
            <w:tcW w:type="dxa" w:w="1728"/>
          </w:tcPr>
          <w:p>
            <w:r>
              <w:rPr>
                <w:rFonts w:ascii="Calibri" w:hAnsi="Calibri"/>
                <w:sz w:val="22"/>
              </w:rPr>
              <w:t>$0.953</w:t>
            </w:r>
          </w:p>
        </w:tc>
        <w:tc>
          <w:tcPr>
            <w:tcW w:type="dxa" w:w="1728"/>
          </w:tcPr>
          <w:p>
            <w:r>
              <w:rPr>
                <w:rFonts w:ascii="Calibri" w:hAnsi="Calibri"/>
                <w:sz w:val="22"/>
              </w:rPr>
              <w:t>$1.083</w:t>
            </w:r>
          </w:p>
        </w:tc>
        <w:tc>
          <w:tcPr>
            <w:tcW w:type="dxa" w:w="1728"/>
          </w:tcPr>
          <w:p>
            <w:r>
              <w:rPr>
                <w:rFonts w:ascii="Calibri" w:hAnsi="Calibri"/>
                <w:b/>
                <w:color w:val="E5484D"/>
                <w:sz w:val="22"/>
              </w:rPr>
              <w:t>−12.0%</w:t>
            </w:r>
          </w:p>
        </w:tc>
        <w:tc>
          <w:tcPr>
            <w:tcW w:type="dxa" w:w="1728"/>
          </w:tcPr>
          <w:p>
            <w:r>
              <w:rPr>
                <w:rFonts w:ascii="Calibri" w:hAnsi="Calibri"/>
                <w:b/>
                <w:color w:val="E5484D"/>
                <w:sz w:val="22"/>
              </w:rPr>
              <w:t>Miss</w:t>
            </w:r>
          </w:p>
        </w:tc>
      </w:tr>
      <w:tr>
        <w:tc>
          <w:tcPr>
            <w:tcW w:type="dxa" w:w="1728"/>
          </w:tcPr>
          <w:p>
            <w:r>
              <w:rPr>
                <w:rFonts w:ascii="Calibri" w:hAnsi="Calibri"/>
                <w:sz w:val="22"/>
              </w:rPr>
              <w:t>Q4 FY2024</w:t>
            </w:r>
          </w:p>
        </w:tc>
        <w:tc>
          <w:tcPr>
            <w:tcW w:type="dxa" w:w="1728"/>
          </w:tcPr>
          <w:p>
            <w:r>
              <w:rPr>
                <w:rFonts w:ascii="Calibri" w:hAnsi="Calibri"/>
                <w:sz w:val="22"/>
              </w:rPr>
              <w:t>$1.111</w:t>
            </w:r>
          </w:p>
        </w:tc>
        <w:tc>
          <w:tcPr>
            <w:tcW w:type="dxa" w:w="1728"/>
          </w:tcPr>
          <w:p>
            <w:r>
              <w:rPr>
                <w:rFonts w:ascii="Calibri" w:hAnsi="Calibri"/>
                <w:sz w:val="22"/>
              </w:rPr>
              <w:t>$1.240</w:t>
            </w:r>
          </w:p>
        </w:tc>
        <w:tc>
          <w:tcPr>
            <w:tcW w:type="dxa" w:w="1728"/>
          </w:tcPr>
          <w:p>
            <w:r>
              <w:rPr>
                <w:rFonts w:ascii="Calibri" w:hAnsi="Calibri"/>
                <w:b/>
                <w:color w:val="E5484D"/>
                <w:sz w:val="22"/>
              </w:rPr>
              <w:t>−10.4%</w:t>
            </w:r>
          </w:p>
        </w:tc>
        <w:tc>
          <w:tcPr>
            <w:tcW w:type="dxa" w:w="1728"/>
          </w:tcPr>
          <w:p>
            <w:r>
              <w:rPr>
                <w:rFonts w:ascii="Calibri" w:hAnsi="Calibri"/>
                <w:b/>
                <w:color w:val="E5484D"/>
                <w:sz w:val="22"/>
              </w:rPr>
              <w:t>Miss</w:t>
            </w:r>
          </w:p>
        </w:tc>
      </w:tr>
      <w:tr>
        <w:tc>
          <w:tcPr>
            <w:tcW w:type="dxa" w:w="1728"/>
          </w:tcPr>
          <w:p>
            <w:r>
              <w:rPr>
                <w:rFonts w:ascii="Calibri" w:hAnsi="Calibri"/>
                <w:sz w:val="22"/>
              </w:rPr>
              <w:t>Q1 FY2025</w:t>
            </w:r>
          </w:p>
        </w:tc>
        <w:tc>
          <w:tcPr>
            <w:tcW w:type="dxa" w:w="1728"/>
          </w:tcPr>
          <w:p>
            <w:r>
              <w:rPr>
                <w:rFonts w:ascii="Calibri" w:hAnsi="Calibri"/>
                <w:sz w:val="22"/>
              </w:rPr>
              <w:t>$0.640</w:t>
            </w:r>
          </w:p>
        </w:tc>
        <w:tc>
          <w:tcPr>
            <w:tcW w:type="dxa" w:w="1728"/>
          </w:tcPr>
          <w:p>
            <w:r>
              <w:rPr>
                <w:rFonts w:ascii="Calibri" w:hAnsi="Calibri"/>
                <w:sz w:val="22"/>
              </w:rPr>
              <w:t>$0.586</w:t>
            </w:r>
          </w:p>
        </w:tc>
        <w:tc>
          <w:tcPr>
            <w:tcW w:type="dxa" w:w="1728"/>
          </w:tcPr>
          <w:p>
            <w:r>
              <w:rPr>
                <w:rFonts w:ascii="Calibri" w:hAnsi="Calibri"/>
                <w:b/>
                <w:color w:val="30A46C"/>
                <w:sz w:val="22"/>
              </w:rPr>
              <w:t>+9.2%</w:t>
            </w:r>
          </w:p>
        </w:tc>
        <w:tc>
          <w:tcPr>
            <w:tcW w:type="dxa" w:w="1728"/>
          </w:tcPr>
          <w:p>
            <w:r>
              <w:rPr>
                <w:rFonts w:ascii="Calibri" w:hAnsi="Calibri"/>
                <w:b/>
                <w:color w:val="30A46C"/>
                <w:sz w:val="22"/>
              </w:rPr>
              <w:t>Beat</w:t>
            </w:r>
          </w:p>
        </w:tc>
      </w:tr>
      <w:tr>
        <w:tc>
          <w:tcPr>
            <w:tcW w:type="dxa" w:w="1728"/>
          </w:tcPr>
          <w:p>
            <w:r>
              <w:rPr>
                <w:rFonts w:ascii="Calibri" w:hAnsi="Calibri"/>
                <w:sz w:val="22"/>
              </w:rPr>
              <w:t>Q2 FY2025</w:t>
            </w:r>
          </w:p>
        </w:tc>
        <w:tc>
          <w:tcPr>
            <w:tcW w:type="dxa" w:w="1728"/>
          </w:tcPr>
          <w:p>
            <w:r>
              <w:rPr>
                <w:rFonts w:ascii="Calibri" w:hAnsi="Calibri"/>
                <w:sz w:val="22"/>
              </w:rPr>
              <w:t>$0.820</w:t>
            </w:r>
          </w:p>
        </w:tc>
        <w:tc>
          <w:tcPr>
            <w:tcW w:type="dxa" w:w="1728"/>
          </w:tcPr>
          <w:p>
            <w:r>
              <w:rPr>
                <w:rFonts w:ascii="Calibri" w:hAnsi="Calibri"/>
                <w:sz w:val="22"/>
              </w:rPr>
              <w:t>$0.784</w:t>
            </w:r>
          </w:p>
        </w:tc>
        <w:tc>
          <w:tcPr>
            <w:tcW w:type="dxa" w:w="1728"/>
          </w:tcPr>
          <w:p>
            <w:r>
              <w:rPr>
                <w:rFonts w:ascii="Calibri" w:hAnsi="Calibri"/>
                <w:b/>
                <w:color w:val="30A46C"/>
                <w:sz w:val="22"/>
              </w:rPr>
              <w:t>+4.6%</w:t>
            </w:r>
          </w:p>
        </w:tc>
        <w:tc>
          <w:tcPr>
            <w:tcW w:type="dxa" w:w="1728"/>
          </w:tcPr>
          <w:p>
            <w:r>
              <w:rPr>
                <w:rFonts w:ascii="Calibri" w:hAnsi="Calibri"/>
                <w:b/>
                <w:color w:val="30A46C"/>
                <w:sz w:val="22"/>
              </w:rPr>
              <w:t>Beat</w:t>
            </w:r>
          </w:p>
        </w:tc>
      </w:tr>
      <w:tr>
        <w:tc>
          <w:tcPr>
            <w:tcW w:type="dxa" w:w="1728"/>
          </w:tcPr>
          <w:p>
            <w:r>
              <w:rPr>
                <w:rFonts w:ascii="Calibri" w:hAnsi="Calibri"/>
                <w:sz w:val="22"/>
              </w:rPr>
              <w:t>Q3 FY2025</w:t>
            </w:r>
          </w:p>
        </w:tc>
        <w:tc>
          <w:tcPr>
            <w:tcW w:type="dxa" w:w="1728"/>
          </w:tcPr>
          <w:p>
            <w:r>
              <w:rPr>
                <w:rFonts w:ascii="Calibri" w:hAnsi="Calibri"/>
                <w:sz w:val="22"/>
              </w:rPr>
              <w:t>$1.050</w:t>
            </w:r>
          </w:p>
        </w:tc>
        <w:tc>
          <w:tcPr>
            <w:tcW w:type="dxa" w:w="1728"/>
          </w:tcPr>
          <w:p>
            <w:r>
              <w:rPr>
                <w:rFonts w:ascii="Calibri" w:hAnsi="Calibri"/>
                <w:sz w:val="22"/>
              </w:rPr>
              <w:t>$1.017</w:t>
            </w:r>
          </w:p>
        </w:tc>
        <w:tc>
          <w:tcPr>
            <w:tcW w:type="dxa" w:w="1728"/>
          </w:tcPr>
          <w:p>
            <w:r>
              <w:rPr>
                <w:rFonts w:ascii="Calibri" w:hAnsi="Calibri"/>
                <w:b/>
                <w:color w:val="30A46C"/>
                <w:sz w:val="22"/>
              </w:rPr>
              <w:t>+3.2%</w:t>
            </w:r>
          </w:p>
        </w:tc>
        <w:tc>
          <w:tcPr>
            <w:tcW w:type="dxa" w:w="1728"/>
          </w:tcPr>
          <w:p>
            <w:r>
              <w:rPr>
                <w:rFonts w:ascii="Calibri" w:hAnsi="Calibri"/>
                <w:b/>
                <w:color w:val="30A46C"/>
                <w:sz w:val="22"/>
              </w:rPr>
              <w:t>Beat</w:t>
            </w:r>
          </w:p>
        </w:tc>
      </w:tr>
      <w:tr>
        <w:tc>
          <w:tcPr>
            <w:tcW w:type="dxa" w:w="1728"/>
          </w:tcPr>
          <w:p>
            <w:r>
              <w:rPr>
                <w:rFonts w:ascii="Calibri" w:hAnsi="Calibri"/>
                <w:sz w:val="22"/>
              </w:rPr>
              <w:t>Q4 FY2025</w:t>
            </w:r>
          </w:p>
        </w:tc>
        <w:tc>
          <w:tcPr>
            <w:tcW w:type="dxa" w:w="1728"/>
          </w:tcPr>
          <w:p>
            <w:r>
              <w:rPr>
                <w:rFonts w:ascii="Calibri" w:hAnsi="Calibri"/>
                <w:sz w:val="22"/>
              </w:rPr>
              <w:t>$1.260</w:t>
            </w:r>
          </w:p>
        </w:tc>
        <w:tc>
          <w:tcPr>
            <w:tcW w:type="dxa" w:w="1728"/>
          </w:tcPr>
          <w:p>
            <w:r>
              <w:rPr>
                <w:rFonts w:ascii="Calibri" w:hAnsi="Calibri"/>
                <w:sz w:val="22"/>
              </w:rPr>
              <w:t>$1.205</w:t>
            </w:r>
          </w:p>
        </w:tc>
        <w:tc>
          <w:tcPr>
            <w:tcW w:type="dxa" w:w="1728"/>
          </w:tcPr>
          <w:p>
            <w:r>
              <w:rPr>
                <w:rFonts w:ascii="Calibri" w:hAnsi="Calibri"/>
                <w:b/>
                <w:color w:val="30A46C"/>
                <w:sz w:val="22"/>
              </w:rPr>
              <w:t>+4.6%</w:t>
            </w:r>
          </w:p>
        </w:tc>
        <w:tc>
          <w:tcPr>
            <w:tcW w:type="dxa" w:w="1728"/>
          </w:tcPr>
          <w:p>
            <w:r>
              <w:rPr>
                <w:rFonts w:ascii="Calibri" w:hAnsi="Calibri"/>
                <w:b/>
                <w:color w:val="30A46C"/>
                <w:sz w:val="22"/>
              </w:rPr>
              <w:t>Beat</w:t>
            </w:r>
          </w:p>
        </w:tc>
      </w:tr>
      <w:tr>
        <w:tc>
          <w:tcPr>
            <w:tcW w:type="dxa" w:w="1728"/>
          </w:tcPr>
          <w:p>
            <w:r>
              <w:rPr>
                <w:rFonts w:ascii="Calibri" w:hAnsi="Calibri"/>
                <w:sz w:val="22"/>
              </w:rPr>
              <w:t>Q1 FY2026</w:t>
            </w:r>
          </w:p>
        </w:tc>
        <w:tc>
          <w:tcPr>
            <w:tcW w:type="dxa" w:w="1728"/>
          </w:tcPr>
          <w:p>
            <w:r>
              <w:rPr>
                <w:rFonts w:ascii="Calibri" w:hAnsi="Calibri"/>
                <w:sz w:val="22"/>
              </w:rPr>
              <w:t>$0.890</w:t>
            </w:r>
          </w:p>
        </w:tc>
        <w:tc>
          <w:tcPr>
            <w:tcW w:type="dxa" w:w="1728"/>
          </w:tcPr>
          <w:p>
            <w:r>
              <w:rPr>
                <w:rFonts w:ascii="Calibri" w:hAnsi="Calibri"/>
                <w:sz w:val="22"/>
              </w:rPr>
              <w:t>$0.840</w:t>
            </w:r>
          </w:p>
        </w:tc>
        <w:tc>
          <w:tcPr>
            <w:tcW w:type="dxa" w:w="1728"/>
          </w:tcPr>
          <w:p>
            <w:r>
              <w:rPr>
                <w:rFonts w:ascii="Calibri" w:hAnsi="Calibri"/>
                <w:b/>
                <w:color w:val="30A46C"/>
                <w:sz w:val="22"/>
              </w:rPr>
              <w:t>+6.0%</w:t>
            </w:r>
          </w:p>
        </w:tc>
        <w:tc>
          <w:tcPr>
            <w:tcW w:type="dxa" w:w="1728"/>
          </w:tcPr>
          <w:p>
            <w:r>
              <w:rPr>
                <w:rFonts w:ascii="Calibri" w:hAnsi="Calibri"/>
                <w:b/>
                <w:color w:val="30A46C"/>
                <w:sz w:val="22"/>
              </w:rPr>
              <w:t>Beat</w:t>
            </w:r>
          </w:p>
        </w:tc>
      </w:tr>
      <w:tr>
        <w:tc>
          <w:tcPr>
            <w:tcW w:type="dxa" w:w="1728"/>
          </w:tcPr>
          <w:p>
            <w:r>
              <w:rPr>
                <w:rFonts w:ascii="Calibri" w:hAnsi="Calibri"/>
                <w:sz w:val="22"/>
              </w:rPr>
              <w:t>Q2 FY2026</w:t>
            </w:r>
          </w:p>
        </w:tc>
        <w:tc>
          <w:tcPr>
            <w:tcW w:type="dxa" w:w="1728"/>
          </w:tcPr>
          <w:p>
            <w:r>
              <w:rPr>
                <w:rFonts w:ascii="Calibri" w:hAnsi="Calibri"/>
                <w:sz w:val="22"/>
              </w:rPr>
              <w:t>$1.190</w:t>
            </w:r>
          </w:p>
        </w:tc>
        <w:tc>
          <w:tcPr>
            <w:tcW w:type="dxa" w:w="1728"/>
          </w:tcPr>
          <w:p>
            <w:r>
              <w:rPr>
                <w:rFonts w:ascii="Calibri" w:hAnsi="Calibri"/>
                <w:sz w:val="22"/>
              </w:rPr>
              <w:t>$1.113</w:t>
            </w:r>
          </w:p>
        </w:tc>
        <w:tc>
          <w:tcPr>
            <w:tcW w:type="dxa" w:w="1728"/>
          </w:tcPr>
          <w:p>
            <w:r>
              <w:rPr>
                <w:rFonts w:ascii="Calibri" w:hAnsi="Calibri"/>
                <w:b/>
                <w:color w:val="30A46C"/>
                <w:sz w:val="22"/>
              </w:rPr>
              <w:t>+6.9%</w:t>
            </w:r>
          </w:p>
        </w:tc>
        <w:tc>
          <w:tcPr>
            <w:tcW w:type="dxa" w:w="1728"/>
          </w:tcPr>
          <w:p>
            <w:r>
              <w:rPr>
                <w:rFonts w:ascii="Calibri" w:hAnsi="Calibri"/>
                <w:b/>
                <w:color w:val="30A46C"/>
                <w:sz w:val="22"/>
              </w:rPr>
              <w:t>Beat</w:t>
            </w:r>
          </w:p>
        </w:tc>
      </w:tr>
    </w:tbl>
    <w:p>
      <w:pPr>
        <w:pStyle w:val="Heading4"/>
      </w:pPr>
      <w:r>
        <w:rPr>
          <w:rFonts w:ascii="Calibri" w:hAnsi="Calibri"/>
          <w:b/>
          <w:color w:val="3B4259"/>
          <w:sz w:val="22"/>
        </w:rPr>
        <w:t>Revenue (Net Sales — Operating)</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($B)</w:t>
            </w:r>
          </w:p>
        </w:tc>
        <w:tc>
          <w:tcPr>
            <w:tcW w:type="dxa" w:w="1728"/>
            <w:shd w:val="clear" w:color="auto" w:fill="3B4259"/>
          </w:tcPr>
          <w:p>
            <w:r>
              <w:rPr>
                <w:rFonts w:ascii="Calibri" w:hAnsi="Calibri"/>
                <w:b/>
                <w:color w:val="FFFFFF"/>
                <w:sz w:val="22"/>
              </w:rPr>
              <w:t>Consensus ($B)</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Q3 FY2024</w:t>
            </w:r>
          </w:p>
        </w:tc>
        <w:tc>
          <w:tcPr>
            <w:tcW w:type="dxa" w:w="1728"/>
          </w:tcPr>
          <w:p>
            <w:r>
              <w:rPr>
                <w:rFonts w:ascii="Calibri" w:hAnsi="Calibri"/>
                <w:sz w:val="22"/>
              </w:rPr>
              <w:t>$5.898B</w:t>
            </w:r>
          </w:p>
        </w:tc>
        <w:tc>
          <w:tcPr>
            <w:tcW w:type="dxa" w:w="1728"/>
          </w:tcPr>
          <w:p>
            <w:r>
              <w:rPr>
                <w:rFonts w:ascii="Calibri" w:hAnsi="Calibri"/>
                <w:sz w:val="22"/>
              </w:rPr>
              <w:t>$7.355B</w:t>
            </w:r>
          </w:p>
        </w:tc>
        <w:tc>
          <w:tcPr>
            <w:tcW w:type="dxa" w:w="1728"/>
          </w:tcPr>
          <w:p>
            <w:r>
              <w:rPr>
                <w:rFonts w:ascii="Calibri" w:hAnsi="Calibri"/>
                <w:b/>
                <w:color w:val="E5484D"/>
                <w:sz w:val="22"/>
              </w:rPr>
              <w:t>−19.8%</w:t>
            </w:r>
          </w:p>
        </w:tc>
        <w:tc>
          <w:tcPr>
            <w:tcW w:type="dxa" w:w="1728"/>
          </w:tcPr>
          <w:p>
            <w:r>
              <w:rPr>
                <w:rFonts w:ascii="Calibri" w:hAnsi="Calibri"/>
                <w:b/>
                <w:color w:val="E5484D"/>
                <w:sz w:val="22"/>
              </w:rPr>
              <w:t>Miss</w:t>
            </w:r>
          </w:p>
        </w:tc>
      </w:tr>
      <w:tr>
        <w:tc>
          <w:tcPr>
            <w:tcW w:type="dxa" w:w="1728"/>
          </w:tcPr>
          <w:p>
            <w:r>
              <w:rPr>
                <w:rFonts w:ascii="Calibri" w:hAnsi="Calibri"/>
                <w:sz w:val="22"/>
              </w:rPr>
              <w:t>Q4 FY2024</w:t>
            </w:r>
          </w:p>
        </w:tc>
        <w:tc>
          <w:tcPr>
            <w:tcW w:type="dxa" w:w="1728"/>
          </w:tcPr>
          <w:p>
            <w:r>
              <w:rPr>
                <w:rFonts w:ascii="Calibri" w:hAnsi="Calibri"/>
                <w:sz w:val="22"/>
              </w:rPr>
              <w:t>$6.248B</w:t>
            </w:r>
          </w:p>
        </w:tc>
        <w:tc>
          <w:tcPr>
            <w:tcW w:type="dxa" w:w="1728"/>
          </w:tcPr>
          <w:p>
            <w:r>
              <w:rPr>
                <w:rFonts w:ascii="Calibri" w:hAnsi="Calibri"/>
                <w:sz w:val="22"/>
              </w:rPr>
              <w:t>$7.218B</w:t>
            </w:r>
          </w:p>
        </w:tc>
        <w:tc>
          <w:tcPr>
            <w:tcW w:type="dxa" w:w="1728"/>
          </w:tcPr>
          <w:p>
            <w:r>
              <w:rPr>
                <w:rFonts w:ascii="Calibri" w:hAnsi="Calibri"/>
                <w:b/>
                <w:color w:val="E5484D"/>
                <w:sz w:val="22"/>
              </w:rPr>
              <w:t>−13.4%</w:t>
            </w:r>
          </w:p>
        </w:tc>
        <w:tc>
          <w:tcPr>
            <w:tcW w:type="dxa" w:w="1728"/>
          </w:tcPr>
          <w:p>
            <w:r>
              <w:rPr>
                <w:rFonts w:ascii="Calibri" w:hAnsi="Calibri"/>
                <w:b/>
                <w:color w:val="E5484D"/>
                <w:sz w:val="22"/>
              </w:rPr>
              <w:t>Miss</w:t>
            </w:r>
          </w:p>
        </w:tc>
      </w:tr>
      <w:tr>
        <w:tc>
          <w:tcPr>
            <w:tcW w:type="dxa" w:w="1728"/>
          </w:tcPr>
          <w:p>
            <w:r>
              <w:rPr>
                <w:rFonts w:ascii="Calibri" w:hAnsi="Calibri"/>
                <w:sz w:val="22"/>
              </w:rPr>
              <w:t>Q1 FY2025</w:t>
            </w:r>
          </w:p>
        </w:tc>
        <w:tc>
          <w:tcPr>
            <w:tcW w:type="dxa" w:w="1728"/>
          </w:tcPr>
          <w:p>
            <w:r>
              <w:rPr>
                <w:rFonts w:ascii="Calibri" w:hAnsi="Calibri"/>
                <w:sz w:val="22"/>
              </w:rPr>
              <w:t>$5.426B</w:t>
            </w:r>
          </w:p>
        </w:tc>
        <w:tc>
          <w:tcPr>
            <w:tcW w:type="dxa" w:w="1728"/>
          </w:tcPr>
          <w:p>
            <w:r>
              <w:rPr>
                <w:rFonts w:ascii="Calibri" w:hAnsi="Calibri"/>
                <w:sz w:val="22"/>
              </w:rPr>
              <w:t>$5.262B</w:t>
            </w:r>
          </w:p>
        </w:tc>
        <w:tc>
          <w:tcPr>
            <w:tcW w:type="dxa" w:w="1728"/>
          </w:tcPr>
          <w:p>
            <w:r>
              <w:rPr>
                <w:rFonts w:ascii="Calibri" w:hAnsi="Calibri"/>
                <w:b/>
                <w:color w:val="30A46C"/>
                <w:sz w:val="22"/>
              </w:rPr>
              <w:t>+3.1%</w:t>
            </w:r>
          </w:p>
        </w:tc>
        <w:tc>
          <w:tcPr>
            <w:tcW w:type="dxa" w:w="1728"/>
          </w:tcPr>
          <w:p>
            <w:r>
              <w:rPr>
                <w:rFonts w:ascii="Calibri" w:hAnsi="Calibri"/>
                <w:b/>
                <w:color w:val="30A46C"/>
                <w:sz w:val="22"/>
              </w:rPr>
              <w:t>Beat</w:t>
            </w:r>
          </w:p>
        </w:tc>
      </w:tr>
      <w:tr>
        <w:tc>
          <w:tcPr>
            <w:tcW w:type="dxa" w:w="1728"/>
          </w:tcPr>
          <w:p>
            <w:r>
              <w:rPr>
                <w:rFonts w:ascii="Calibri" w:hAnsi="Calibri"/>
                <w:sz w:val="22"/>
              </w:rPr>
              <w:t>Q2 FY2025</w:t>
            </w:r>
          </w:p>
        </w:tc>
        <w:tc>
          <w:tcPr>
            <w:tcW w:type="dxa" w:w="1728"/>
          </w:tcPr>
          <w:p>
            <w:r>
              <w:rPr>
                <w:rFonts w:ascii="Calibri" w:hAnsi="Calibri"/>
                <w:sz w:val="22"/>
              </w:rPr>
              <w:t>$5.676B</w:t>
            </w:r>
          </w:p>
        </w:tc>
        <w:tc>
          <w:tcPr>
            <w:tcW w:type="dxa" w:w="1728"/>
          </w:tcPr>
          <w:p>
            <w:r>
              <w:rPr>
                <w:rFonts w:ascii="Calibri" w:hAnsi="Calibri"/>
                <w:sz w:val="22"/>
              </w:rPr>
              <w:t>$5.644B</w:t>
            </w:r>
          </w:p>
        </w:tc>
        <w:tc>
          <w:tcPr>
            <w:tcW w:type="dxa" w:w="1728"/>
          </w:tcPr>
          <w:p>
            <w:r>
              <w:rPr>
                <w:rFonts w:ascii="Calibri" w:hAnsi="Calibri"/>
                <w:b/>
                <w:color w:val="30A46C"/>
                <w:sz w:val="22"/>
              </w:rPr>
              <w:t>+0.6%</w:t>
            </w:r>
          </w:p>
        </w:tc>
        <w:tc>
          <w:tcPr>
            <w:tcW w:type="dxa" w:w="1728"/>
          </w:tcPr>
          <w:p>
            <w:r>
              <w:rPr>
                <w:rFonts w:ascii="Calibri" w:hAnsi="Calibri"/>
                <w:b/>
                <w:color w:val="30A46C"/>
                <w:sz w:val="22"/>
              </w:rPr>
              <w:t>Beat</w:t>
            </w:r>
          </w:p>
        </w:tc>
      </w:tr>
      <w:tr>
        <w:tc>
          <w:tcPr>
            <w:tcW w:type="dxa" w:w="1728"/>
          </w:tcPr>
          <w:p>
            <w:r>
              <w:rPr>
                <w:rFonts w:ascii="Calibri" w:hAnsi="Calibri"/>
                <w:sz w:val="22"/>
              </w:rPr>
              <w:t>Q3 FY2025</w:t>
            </w:r>
          </w:p>
        </w:tc>
        <w:tc>
          <w:tcPr>
            <w:tcW w:type="dxa" w:w="1728"/>
          </w:tcPr>
          <w:p>
            <w:r>
              <w:rPr>
                <w:rFonts w:ascii="Calibri" w:hAnsi="Calibri"/>
                <w:sz w:val="22"/>
              </w:rPr>
              <w:t>$6.052B</w:t>
            </w:r>
          </w:p>
        </w:tc>
        <w:tc>
          <w:tcPr>
            <w:tcW w:type="dxa" w:w="1728"/>
          </w:tcPr>
          <w:p>
            <w:r>
              <w:rPr>
                <w:rFonts w:ascii="Calibri" w:hAnsi="Calibri"/>
                <w:sz w:val="22"/>
              </w:rPr>
              <w:t>$6.008B</w:t>
            </w:r>
          </w:p>
        </w:tc>
        <w:tc>
          <w:tcPr>
            <w:tcW w:type="dxa" w:w="1728"/>
          </w:tcPr>
          <w:p>
            <w:r>
              <w:rPr>
                <w:rFonts w:ascii="Calibri" w:hAnsi="Calibri"/>
                <w:b/>
                <w:color w:val="30A46C"/>
                <w:sz w:val="22"/>
              </w:rPr>
              <w:t>+0.7%</w:t>
            </w:r>
          </w:p>
        </w:tc>
        <w:tc>
          <w:tcPr>
            <w:tcW w:type="dxa" w:w="1728"/>
          </w:tcPr>
          <w:p>
            <w:r>
              <w:rPr>
                <w:rFonts w:ascii="Calibri" w:hAnsi="Calibri"/>
                <w:b/>
                <w:color w:val="30A46C"/>
                <w:sz w:val="22"/>
              </w:rPr>
              <w:t>Beat</w:t>
            </w:r>
          </w:p>
        </w:tc>
      </w:tr>
      <w:tr>
        <w:tc>
          <w:tcPr>
            <w:tcW w:type="dxa" w:w="1728"/>
          </w:tcPr>
          <w:p>
            <w:r>
              <w:rPr>
                <w:rFonts w:ascii="Calibri" w:hAnsi="Calibri"/>
                <w:sz w:val="22"/>
              </w:rPr>
              <w:t>Q4 FY2025</w:t>
            </w:r>
          </w:p>
        </w:tc>
        <w:tc>
          <w:tcPr>
            <w:tcW w:type="dxa" w:w="1728"/>
          </w:tcPr>
          <w:p>
            <w:r>
              <w:rPr>
                <w:rFonts w:ascii="Calibri" w:hAnsi="Calibri"/>
                <w:sz w:val="22"/>
              </w:rPr>
              <w:t>$6.442B</w:t>
            </w:r>
          </w:p>
        </w:tc>
        <w:tc>
          <w:tcPr>
            <w:tcW w:type="dxa" w:w="1728"/>
          </w:tcPr>
          <w:p>
            <w:r>
              <w:rPr>
                <w:rFonts w:ascii="Calibri" w:hAnsi="Calibri"/>
                <w:sz w:val="22"/>
              </w:rPr>
              <w:t>$6.339B</w:t>
            </w:r>
          </w:p>
        </w:tc>
        <w:tc>
          <w:tcPr>
            <w:tcW w:type="dxa" w:w="1728"/>
          </w:tcPr>
          <w:p>
            <w:r>
              <w:rPr>
                <w:rFonts w:ascii="Calibri" w:hAnsi="Calibri"/>
                <w:b/>
                <w:color w:val="30A46C"/>
                <w:sz w:val="22"/>
              </w:rPr>
              <w:t>+1.6%</w:t>
            </w:r>
          </w:p>
        </w:tc>
        <w:tc>
          <w:tcPr>
            <w:tcW w:type="dxa" w:w="1728"/>
          </w:tcPr>
          <w:p>
            <w:r>
              <w:rPr>
                <w:rFonts w:ascii="Calibri" w:hAnsi="Calibri"/>
                <w:b/>
                <w:color w:val="30A46C"/>
                <w:sz w:val="22"/>
              </w:rPr>
              <w:t>Beat</w:t>
            </w:r>
          </w:p>
        </w:tc>
      </w:tr>
      <w:tr>
        <w:tc>
          <w:tcPr>
            <w:tcW w:type="dxa" w:w="1728"/>
          </w:tcPr>
          <w:p>
            <w:r>
              <w:rPr>
                <w:rFonts w:ascii="Calibri" w:hAnsi="Calibri"/>
                <w:sz w:val="22"/>
              </w:rPr>
              <w:t>Q1 FY2026</w:t>
            </w:r>
          </w:p>
        </w:tc>
        <w:tc>
          <w:tcPr>
            <w:tcW w:type="dxa" w:w="1728"/>
          </w:tcPr>
          <w:p>
            <w:r>
              <w:rPr>
                <w:rFonts w:ascii="Calibri" w:hAnsi="Calibri"/>
                <w:sz w:val="22"/>
              </w:rPr>
              <w:t>$5.797B</w:t>
            </w:r>
          </w:p>
        </w:tc>
        <w:tc>
          <w:tcPr>
            <w:tcW w:type="dxa" w:w="1728"/>
          </w:tcPr>
          <w:p>
            <w:r>
              <w:rPr>
                <w:rFonts w:ascii="Calibri" w:hAnsi="Calibri"/>
                <w:sz w:val="22"/>
              </w:rPr>
              <w:t>$5.639B</w:t>
            </w:r>
          </w:p>
        </w:tc>
        <w:tc>
          <w:tcPr>
            <w:tcW w:type="dxa" w:w="1728"/>
          </w:tcPr>
          <w:p>
            <w:r>
              <w:rPr>
                <w:rFonts w:ascii="Calibri" w:hAnsi="Calibri"/>
                <w:b/>
                <w:color w:val="30A46C"/>
                <w:sz w:val="22"/>
              </w:rPr>
              <w:t>+2.8%</w:t>
            </w:r>
          </w:p>
        </w:tc>
        <w:tc>
          <w:tcPr>
            <w:tcW w:type="dxa" w:w="1728"/>
          </w:tcPr>
          <w:p>
            <w:r>
              <w:rPr>
                <w:rFonts w:ascii="Calibri" w:hAnsi="Calibri"/>
                <w:b/>
                <w:color w:val="30A46C"/>
                <w:sz w:val="22"/>
              </w:rPr>
              <w:t>Beat</w:t>
            </w:r>
          </w:p>
        </w:tc>
      </w:tr>
      <w:tr>
        <w:tc>
          <w:tcPr>
            <w:tcW w:type="dxa" w:w="1728"/>
          </w:tcPr>
          <w:p>
            <w:r>
              <w:rPr>
                <w:rFonts w:ascii="Calibri" w:hAnsi="Calibri"/>
                <w:sz w:val="22"/>
              </w:rPr>
              <w:t>Q2 FY2026</w:t>
            </w:r>
          </w:p>
        </w:tc>
        <w:tc>
          <w:tcPr>
            <w:tcW w:type="dxa" w:w="1728"/>
          </w:tcPr>
          <w:p>
            <w:r>
              <w:rPr>
                <w:rFonts w:ascii="Calibri" w:hAnsi="Calibri"/>
                <w:sz w:val="22"/>
              </w:rPr>
              <w:t>$6.142B</w:t>
            </w:r>
          </w:p>
        </w:tc>
        <w:tc>
          <w:tcPr>
            <w:tcW w:type="dxa" w:w="1728"/>
          </w:tcPr>
          <w:p>
            <w:r>
              <w:rPr>
                <w:rFonts w:ascii="Calibri" w:hAnsi="Calibri"/>
                <w:sz w:val="22"/>
              </w:rPr>
              <w:t>$6.058B</w:t>
            </w:r>
          </w:p>
        </w:tc>
        <w:tc>
          <w:tcPr>
            <w:tcW w:type="dxa" w:w="1728"/>
          </w:tcPr>
          <w:p>
            <w:r>
              <w:rPr>
                <w:rFonts w:ascii="Calibri" w:hAnsi="Calibri"/>
                <w:b/>
                <w:color w:val="30A46C"/>
                <w:sz w:val="22"/>
              </w:rPr>
              <w:t>+1.4%</w:t>
            </w:r>
          </w:p>
        </w:tc>
        <w:tc>
          <w:tcPr>
            <w:tcW w:type="dxa" w:w="1728"/>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color w:val="525866"/>
          <w:sz w:val="22"/>
        </w:rPr>
        <w:t>JCI has beaten on both EPS and revenue in each of the last 6 consecutive quarters after two large misses in Q3–Q4 FY2024 (which reflected the Residential/Global Products segment divestiture and portfolio restructuring, causing large consensus mismatches). Since the portfolio reset in Q1 FY2025, the beat rate is 6/6 on EPS and 6/6 on revenue, with EPS beats averaging ~+5.7% and revenue beats averaging ~+1.7%. The bar for Q3 FY2026 is set modestly above guidance, consistent with recent cadence.</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Management raised FY2026 EPS guidance at Q2 earnings (May 6) from ~$4.70 to ~$4.85, and the Gemba Day event (June 1) reaffirmed the long-term algorithm with an upgrade to high-single-digit organic growth. </w:t>
      </w:r>
      <w:r>
        <w:rPr>
          <w:rFonts w:ascii="Calibri" w:hAnsi="Calibri"/>
          <w:b/>
          <w:color w:val="525866"/>
          <w:sz w:val="22"/>
        </w:rPr>
        <w:t>Tone has shifted from confident execution to strategic leadership</w:t>
      </w:r>
      <w:r>
        <w:rPr>
          <w:rFonts w:ascii="Calibri" w:hAnsi="Calibri"/>
          <w:color w:val="525866"/>
          <w:sz w:val="22"/>
        </w:rPr>
        <w:t xml:space="preserve"> — the CEO is now explicitly targeting peer-matching margins and has tied executive pay to ambitious 5-year targets, signaling conviction in the transformation.</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(Q2 FY2026 Earnings Call, May 6,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Q3 FY2026 Adj. EPS</w:t>
            </w:r>
          </w:p>
        </w:tc>
        <w:tc>
          <w:tcPr>
            <w:tcW w:type="dxa" w:w="1728"/>
          </w:tcPr>
          <w:p>
            <w:r>
              <w:rPr>
                <w:rFonts w:ascii="Calibri" w:hAnsi="Calibri"/>
                <w:sz w:val="22"/>
              </w:rPr>
              <w:t>~$1.28</w:t>
            </w:r>
          </w:p>
        </w:tc>
        <w:tc>
          <w:tcPr>
            <w:tcW w:type="dxa" w:w="1728"/>
          </w:tcPr>
          <w:p>
            <w:r>
              <w:rPr>
                <w:rFonts w:ascii="Calibri" w:hAnsi="Calibri"/>
                <w:sz w:val="22"/>
              </w:rPr>
              <w:t>—</w:t>
            </w:r>
          </w:p>
        </w:tc>
        <w:tc>
          <w:tcPr>
            <w:tcW w:type="dxa" w:w="1728"/>
          </w:tcPr>
          <w:p>
            <w:r>
              <w:rPr>
                <w:rFonts w:ascii="Calibri" w:hAnsi="Calibri"/>
                <w:sz w:val="22"/>
              </w:rPr>
              <w:t>$1.30</w:t>
            </w:r>
          </w:p>
        </w:tc>
        <w:tc>
          <w:tcPr>
            <w:tcW w:type="dxa" w:w="1728"/>
          </w:tcPr>
          <w:p>
            <w:r>
              <w:rPr>
                <w:rFonts w:ascii="Calibri" w:hAnsi="Calibri"/>
                <w:sz w:val="22"/>
              </w:rPr>
              <w:t>Unchanged since Q2 call; consensus sits +1.6% above guide midpoint, consistent with recent beat cadence</w:t>
            </w:r>
          </w:p>
        </w:tc>
      </w:tr>
      <w:tr>
        <w:tc>
          <w:tcPr>
            <w:tcW w:type="dxa" w:w="1728"/>
          </w:tcPr>
          <w:p>
            <w:r>
              <w:rPr>
                <w:rFonts w:ascii="Calibri" w:hAnsi="Calibri"/>
                <w:sz w:val="22"/>
              </w:rPr>
              <w:t>Q3 FY2026 Organic Revenue Growth</w:t>
            </w:r>
          </w:p>
        </w:tc>
        <w:tc>
          <w:tcPr>
            <w:tcW w:type="dxa" w:w="1728"/>
          </w:tcPr>
          <w:p>
            <w:r>
              <w:rPr>
                <w:rFonts w:ascii="Calibri" w:hAnsi="Calibri"/>
                <w:sz w:val="22"/>
              </w:rPr>
              <w:t>~6% organic</w:t>
            </w:r>
          </w:p>
        </w:tc>
        <w:tc>
          <w:tcPr>
            <w:tcW w:type="dxa" w:w="1728"/>
          </w:tcPr>
          <w:p>
            <w:r>
              <w:rPr>
                <w:rFonts w:ascii="Calibri" w:hAnsi="Calibri"/>
                <w:sz w:val="22"/>
              </w:rPr>
              <w:t>—</w:t>
            </w:r>
          </w:p>
        </w:tc>
        <w:tc>
          <w:tcPr>
            <w:tcW w:type="dxa" w:w="1728"/>
          </w:tcPr>
          <w:p>
            <w:r>
              <w:rPr>
                <w:rFonts w:ascii="Calibri" w:hAnsi="Calibri"/>
                <w:sz w:val="22"/>
              </w:rPr>
              <w:t>~6.6% YoY implied by $6.451B consensus</w:t>
            </w:r>
          </w:p>
        </w:tc>
        <w:tc>
          <w:tcPr>
            <w:tcW w:type="dxa" w:w="1728"/>
          </w:tcPr>
          <w:p>
            <w:r>
              <w:rPr>
                <w:rFonts w:ascii="Calibri" w:hAnsi="Calibri"/>
                <w:sz w:val="22"/>
              </w:rPr>
              <w:t>Unchanged; consensus slightly above guide, reflecting continued backlog conversion confidence</w:t>
            </w:r>
          </w:p>
        </w:tc>
      </w:tr>
      <w:tr>
        <w:tc>
          <w:tcPr>
            <w:tcW w:type="dxa" w:w="1728"/>
          </w:tcPr>
          <w:p>
            <w:r>
              <w:rPr>
                <w:rFonts w:ascii="Calibri" w:hAnsi="Calibri"/>
                <w:sz w:val="22"/>
              </w:rPr>
              <w:t>Q3 FY2026 Operating Leverage</w:t>
            </w:r>
          </w:p>
        </w:tc>
        <w:tc>
          <w:tcPr>
            <w:tcW w:type="dxa" w:w="1728"/>
          </w:tcPr>
          <w:p>
            <w:r>
              <w:rPr>
                <w:rFonts w:ascii="Calibri" w:hAnsi="Calibri"/>
                <w:sz w:val="22"/>
              </w:rPr>
              <w:t>~45%</w:t>
            </w:r>
          </w:p>
        </w:tc>
        <w:tc>
          <w:tcPr>
            <w:tcW w:type="dxa" w:w="1728"/>
          </w:tcPr>
          <w:p>
            <w:r>
              <w:rPr>
                <w:rFonts w:ascii="Calibri" w:hAnsi="Calibri"/>
                <w:sz w:val="22"/>
              </w:rPr>
              <w:t>—</w:t>
            </w:r>
          </w:p>
        </w:tc>
        <w:tc>
          <w:tcPr>
            <w:tcW w:type="dxa" w:w="1728"/>
          </w:tcPr>
          <w:p>
            <w:r>
              <w:rPr>
                <w:rFonts w:ascii="Calibri" w:hAnsi="Calibri"/>
                <w:sz w:val="22"/>
              </w:rPr>
              <w:t>~18.8% EBITA margin implied (vs. 17.6% prior year)</w:t>
            </w:r>
          </w:p>
        </w:tc>
        <w:tc>
          <w:tcPr>
            <w:tcW w:type="dxa" w:w="1728"/>
          </w:tcPr>
          <w:p>
            <w:r>
              <w:rPr>
                <w:rFonts w:ascii="Calibri" w:hAnsi="Calibri"/>
                <w:sz w:val="22"/>
              </w:rPr>
              <w:t>Unchanged; ~45% leverage guide implies ~120 bps margin expansion YoY</w:t>
            </w:r>
          </w:p>
        </w:tc>
      </w:tr>
      <w:tr>
        <w:tc>
          <w:tcPr>
            <w:tcW w:type="dxa" w:w="1728"/>
          </w:tcPr>
          <w:p>
            <w:r>
              <w:rPr>
                <w:rFonts w:ascii="Calibri" w:hAnsi="Calibri"/>
                <w:sz w:val="22"/>
              </w:rPr>
              <w:t>FY2026 Adj. EPS</w:t>
            </w:r>
          </w:p>
        </w:tc>
        <w:tc>
          <w:tcPr>
            <w:tcW w:type="dxa" w:w="1728"/>
          </w:tcPr>
          <w:p>
            <w:r>
              <w:rPr>
                <w:rFonts w:ascii="Calibri" w:hAnsi="Calibri"/>
                <w:sz w:val="22"/>
              </w:rPr>
              <w:t>~$4.85 (raised from ~$4.70 at Q1)</w:t>
            </w:r>
          </w:p>
        </w:tc>
        <w:tc>
          <w:tcPr>
            <w:tcW w:type="dxa" w:w="1728"/>
          </w:tcPr>
          <w:p>
            <w:r>
              <w:rPr>
                <w:rFonts w:ascii="Calibri" w:hAnsi="Calibri"/>
                <w:sz w:val="22"/>
              </w:rPr>
              <w:t>— (reaffirmed at Gemba Day, June 1)</w:t>
            </w:r>
          </w:p>
        </w:tc>
        <w:tc>
          <w:tcPr>
            <w:tcW w:type="dxa" w:w="1728"/>
          </w:tcPr>
          <w:p>
            <w:r>
              <w:rPr>
                <w:rFonts w:ascii="Calibri" w:hAnsi="Calibri"/>
                <w:sz w:val="22"/>
              </w:rPr>
              <w:t>$4.90</w:t>
            </w:r>
          </w:p>
        </w:tc>
        <w:tc>
          <w:tcPr>
            <w:tcW w:type="dxa" w:w="1728"/>
          </w:tcPr>
          <w:p>
            <w:r>
              <w:rPr>
                <w:rFonts w:ascii="Calibri" w:hAnsi="Calibri"/>
                <w:sz w:val="22"/>
              </w:rPr>
              <w:t>↑ Raised at Q2 earnings; Gemba Day (June 1) reaffirmed long-term algorithm; consensus now $0.05 above guide midpoint</w:t>
            </w:r>
          </w:p>
        </w:tc>
      </w:tr>
      <w:tr>
        <w:tc>
          <w:tcPr>
            <w:tcW w:type="dxa" w:w="1728"/>
          </w:tcPr>
          <w:p>
            <w:r>
              <w:rPr>
                <w:rFonts w:ascii="Calibri" w:hAnsi="Calibri"/>
                <w:sz w:val="22"/>
              </w:rPr>
              <w:t>FY2026 Organic Revenue Growth</w:t>
            </w:r>
          </w:p>
        </w:tc>
        <w:tc>
          <w:tcPr>
            <w:tcW w:type="dxa" w:w="1728"/>
          </w:tcPr>
          <w:p>
            <w:r>
              <w:rPr>
                <w:rFonts w:ascii="Calibri" w:hAnsi="Calibri"/>
                <w:sz w:val="22"/>
              </w:rPr>
              <w:t>~6% organic</w:t>
            </w:r>
          </w:p>
        </w:tc>
        <w:tc>
          <w:tcPr>
            <w:tcW w:type="dxa" w:w="1728"/>
          </w:tcPr>
          <w:p>
            <w:r>
              <w:rPr>
                <w:rFonts w:ascii="Calibri" w:hAnsi="Calibri"/>
                <w:sz w:val="22"/>
              </w:rPr>
              <w:t>— (reaffirmed at Gemba Day, June 1)</w:t>
            </w:r>
          </w:p>
        </w:tc>
        <w:tc>
          <w:tcPr>
            <w:tcW w:type="dxa" w:w="1728"/>
          </w:tcPr>
          <w:p>
            <w:r>
              <w:rPr>
                <w:rFonts w:ascii="Calibri" w:hAnsi="Calibri"/>
                <w:sz w:val="22"/>
              </w:rPr>
              <w:t>~6.3% implied by $25.26B consensus</w:t>
            </w:r>
          </w:p>
        </w:tc>
        <w:tc>
          <w:tcPr>
            <w:tcW w:type="dxa" w:w="1728"/>
          </w:tcPr>
          <w:p>
            <w:r>
              <w:rPr>
                <w:rFonts w:ascii="Calibri" w:hAnsi="Calibri"/>
                <w:sz w:val="22"/>
              </w:rPr>
              <w:t>Unchanged; Gemba Day upgraded long-term algorithm to high-single-digit organic growth (beyond FY2026)</w:t>
            </w:r>
          </w:p>
        </w:tc>
      </w:tr>
      <w:tr>
        <w:tc>
          <w:tcPr>
            <w:tcW w:type="dxa" w:w="1728"/>
          </w:tcPr>
          <w:p>
            <w:r>
              <w:rPr>
                <w:rFonts w:ascii="Calibri" w:hAnsi="Calibri"/>
                <w:sz w:val="22"/>
              </w:rPr>
              <w:t>FY2026 Operating Leverage</w:t>
            </w:r>
          </w:p>
        </w:tc>
        <w:tc>
          <w:tcPr>
            <w:tcW w:type="dxa" w:w="1728"/>
          </w:tcPr>
          <w:p>
            <w:r>
              <w:rPr>
                <w:rFonts w:ascii="Calibri" w:hAnsi="Calibri"/>
                <w:sz w:val="22"/>
              </w:rPr>
              <w:t>~50%</w:t>
            </w:r>
          </w:p>
        </w:tc>
        <w:tc>
          <w:tcPr>
            <w:tcW w:type="dxa" w:w="1728"/>
          </w:tcPr>
          <w:p>
            <w:r>
              <w:rPr>
                <w:rFonts w:ascii="Calibri" w:hAnsi="Calibri"/>
                <w:sz w:val="22"/>
              </w:rPr>
              <w:t>—</w:t>
            </w:r>
          </w:p>
        </w:tc>
        <w:tc>
          <w:tcPr>
            <w:tcW w:type="dxa" w:w="1728"/>
          </w:tcPr>
          <w:p>
            <w:r>
              <w:rPr>
                <w:rFonts w:ascii="Calibri" w:hAnsi="Calibri"/>
                <w:sz w:val="22"/>
              </w:rPr>
              <w:t>~18.3% EBITA margin implied</w:t>
            </w:r>
          </w:p>
        </w:tc>
        <w:tc>
          <w:tcPr>
            <w:tcW w:type="dxa" w:w="1728"/>
          </w:tcPr>
          <w:p>
            <w:r>
              <w:rPr>
                <w:rFonts w:ascii="Calibri" w:hAnsi="Calibri"/>
                <w:sz w:val="22"/>
              </w:rPr>
              <w:t>Unchanged; well above 30% long-term algorithm; driven by business system gains and fixed cost absorption</w:t>
            </w:r>
          </w:p>
        </w:tc>
      </w:tr>
      <w:tr>
        <w:tc>
          <w:tcPr>
            <w:tcW w:type="dxa" w:w="1728"/>
          </w:tcPr>
          <w:p>
            <w:r>
              <w:rPr>
                <w:rFonts w:ascii="Calibri" w:hAnsi="Calibri"/>
                <w:sz w:val="22"/>
              </w:rPr>
              <w:t>FY2026 FCF Conversion</w:t>
            </w:r>
          </w:p>
        </w:tc>
        <w:tc>
          <w:tcPr>
            <w:tcW w:type="dxa" w:w="1728"/>
          </w:tcPr>
          <w:p>
            <w:r>
              <w:rPr>
                <w:rFonts w:ascii="Calibri" w:hAnsi="Calibri"/>
                <w:sz w:val="22"/>
              </w:rPr>
              <w:t>~100%</w:t>
            </w:r>
          </w:p>
        </w:tc>
        <w:tc>
          <w:tcPr>
            <w:tcW w:type="dxa" w:w="1728"/>
          </w:tcPr>
          <w:p>
            <w:r>
              <w:rPr>
                <w:rFonts w:ascii="Calibri" w:hAnsi="Calibri"/>
                <w:sz w:val="22"/>
              </w:rPr>
              <w:t>—</w:t>
            </w:r>
          </w:p>
        </w:tc>
        <w:tc>
          <w:tcPr>
            <w:tcW w:type="dxa" w:w="1728"/>
          </w:tcPr>
          <w:p>
            <w:r>
              <w:rPr>
                <w:rFonts w:ascii="Calibri" w:hAnsi="Calibri"/>
                <w:sz w:val="22"/>
              </w:rPr>
              <w:t>$3.017B consensus</w:t>
            </w:r>
          </w:p>
        </w:tc>
        <w:tc>
          <w:tcPr>
            <w:tcW w:type="dxa" w:w="1728"/>
          </w:tcPr>
          <w:p>
            <w:r>
              <w:rPr>
                <w:rFonts w:ascii="Calibri" w:hAnsi="Calibri"/>
                <w:sz w:val="22"/>
              </w:rPr>
              <w:t>Unchanged; management committed to 95–100% FCF conversion even at higher growth rates (Gemba Day)</w:t>
            </w:r>
          </w:p>
        </w:tc>
      </w:tr>
      <w:tr>
        <w:tc>
          <w:tcPr>
            <w:tcW w:type="dxa" w:w="1728"/>
          </w:tcPr>
          <w:p>
            <w:r>
              <w:rPr>
                <w:rFonts w:ascii="Calibri" w:hAnsi="Calibri"/>
                <w:sz w:val="22"/>
              </w:rPr>
              <w:t>Long-Term Organic Growth Algorithm</w:t>
            </w:r>
          </w:p>
        </w:tc>
        <w:tc>
          <w:tcPr>
            <w:tcW w:type="dxa" w:w="1728"/>
          </w:tcPr>
          <w:p>
            <w:r>
              <w:rPr>
                <w:rFonts w:ascii="Calibri" w:hAnsi="Calibri"/>
                <w:sz w:val="22"/>
              </w:rPr>
              <w:t>Mid-single digit (prior)</w:t>
            </w:r>
          </w:p>
        </w:tc>
        <w:tc>
          <w:tcPr>
            <w:tcW w:type="dxa" w:w="1728"/>
          </w:tcPr>
          <w:p>
            <w:r>
              <w:rPr>
                <w:rFonts w:ascii="Calibri" w:hAnsi="Calibri"/>
                <w:sz w:val="22"/>
              </w:rPr>
              <w:t>High-single digit (upgraded at Gemba Day, June 1, 2026)</w:t>
            </w:r>
          </w:p>
        </w:tc>
        <w:tc>
          <w:tcPr>
            <w:tcW w:type="dxa" w:w="1728"/>
          </w:tcPr>
          <w:p>
            <w:r>
              <w:rPr>
                <w:rFonts w:ascii="Calibri" w:hAnsi="Calibri"/>
                <w:sz w:val="22"/>
              </w:rPr>
              <w:t>N/A (LT target)</w:t>
            </w:r>
          </w:p>
        </w:tc>
        <w:tc>
          <w:tcPr>
            <w:tcW w:type="dxa" w:w="1728"/>
          </w:tcPr>
          <w:p>
            <w:r>
              <w:rPr>
                <w:rFonts w:ascii="Calibri" w:hAnsi="Calibri"/>
                <w:sz w:val="22"/>
              </w:rPr>
              <w:t>↑ Upgraded at Gemba Day; CEO cited data center TAM ($7T by 2030), biologics, and decarbonization as drivers; double-digit EPS growth committed</w:t>
            </w:r>
          </w:p>
        </w:tc>
      </w:tr>
    </w:tbl>
    <w:p>
      <w:r>
        <w:rPr>
          <w:rFonts w:ascii="Calibri" w:hAnsi="Calibri"/>
          <w:i/>
          <w:color w:val="525866"/>
          <w:sz w:val="22"/>
        </w:rPr>
        <w:t>Source: JCI Q2 FY2026 Earnings Call (May 6, 2026); JCI Gemba Day Transcript (June 1, 2026); JCI 8-K (May 13, 2026 — VGI Program); Visible Alpha Consensus Data.</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moved modestly higher since the Q2 print, tracking in line with the raised guidance — no meaningful divergence. </w:t>
      </w:r>
      <w:r>
        <w:rPr>
          <w:rFonts w:ascii="Calibri" w:hAnsi="Calibri"/>
          <w:b/>
          <w:color w:val="525866"/>
          <w:sz w:val="22"/>
        </w:rPr>
        <w:t>The $0.015 Q3 EPS revision and $0.036 FY EPS revision since May 11 suggest the Street is giving management credit for the beat cadence but not getting ahead of itself</w:t>
      </w:r>
      <w:r>
        <w:rPr>
          <w:rFonts w:ascii="Calibri" w:hAnsi="Calibri"/>
          <w:color w:val="525866"/>
          <w:sz w:val="22"/>
        </w:rPr>
        <w:t>; the gap between consensus and guidance is a thin cushion, not a stretched bar.</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(May 11, 2026 — 5 Days Post Q2 Print)</w:t>
            </w:r>
          </w:p>
        </w:tc>
        <w:tc>
          <w:tcPr>
            <w:tcW w:type="dxa" w:w="1080"/>
            <w:shd w:val="clear" w:color="auto" w:fill="3B4259"/>
          </w:tcPr>
          <w:p>
            <w:r>
              <w:rPr>
                <w:rFonts w:ascii="Calibri" w:hAnsi="Calibri"/>
                <w:b/>
                <w:color w:val="FFFFFF"/>
                <w:sz w:val="22"/>
              </w:rPr>
              <w:t>Current Consensus (July 28,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(Q2 Call, May 6)</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Adj. EPS — Q3 FY2026</w:t>
            </w:r>
          </w:p>
        </w:tc>
        <w:tc>
          <w:tcPr>
            <w:tcW w:type="dxa" w:w="1080"/>
          </w:tcPr>
          <w:p>
            <w:r>
              <w:rPr>
                <w:rFonts w:ascii="Calibri" w:hAnsi="Calibri"/>
                <w:sz w:val="22"/>
              </w:rPr>
              <w:t>$1.287</w:t>
            </w:r>
          </w:p>
        </w:tc>
        <w:tc>
          <w:tcPr>
            <w:tcW w:type="dxa" w:w="1080"/>
          </w:tcPr>
          <w:p>
            <w:r>
              <w:rPr>
                <w:rFonts w:ascii="Calibri" w:hAnsi="Calibri"/>
                <w:sz w:val="22"/>
              </w:rPr>
              <w:t>$1.301</w:t>
            </w:r>
          </w:p>
        </w:tc>
        <w:tc>
          <w:tcPr>
            <w:tcW w:type="dxa" w:w="1080"/>
          </w:tcPr>
          <w:p>
            <w:r>
              <w:rPr>
                <w:rFonts w:ascii="Calibri" w:hAnsi="Calibri"/>
                <w:b/>
                <w:color w:val="30A46C"/>
                <w:sz w:val="22"/>
              </w:rPr>
              <w:t>+1.1%</w:t>
            </w:r>
          </w:p>
        </w:tc>
        <w:tc>
          <w:tcPr>
            <w:tcW w:type="dxa" w:w="1080"/>
          </w:tcPr>
          <w:p>
            <w:r>
              <w:rPr>
                <w:rFonts w:ascii="Calibri" w:hAnsi="Calibri"/>
                <w:sz w:val="22"/>
              </w:rPr>
              <w:t>~$1.28</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+1.6% above guide</w:t>
            </w:r>
          </w:p>
        </w:tc>
      </w:tr>
      <w:tr>
        <w:tc>
          <w:tcPr>
            <w:tcW w:type="dxa" w:w="1080"/>
          </w:tcPr>
          <w:p>
            <w:r>
              <w:rPr>
                <w:rFonts w:ascii="Calibri" w:hAnsi="Calibri"/>
                <w:sz w:val="22"/>
              </w:rPr>
              <w:t>Revenue — Q3 FY2026</w:t>
            </w:r>
          </w:p>
        </w:tc>
        <w:tc>
          <w:tcPr>
            <w:tcW w:type="dxa" w:w="1080"/>
          </w:tcPr>
          <w:p>
            <w:r>
              <w:rPr>
                <w:rFonts w:ascii="Calibri" w:hAnsi="Calibri"/>
                <w:sz w:val="22"/>
              </w:rPr>
              <w:t>$6.444B</w:t>
            </w:r>
          </w:p>
        </w:tc>
        <w:tc>
          <w:tcPr>
            <w:tcW w:type="dxa" w:w="1080"/>
          </w:tcPr>
          <w:p>
            <w:r>
              <w:rPr>
                <w:rFonts w:ascii="Calibri" w:hAnsi="Calibri"/>
                <w:sz w:val="22"/>
              </w:rPr>
              <w:t>$6.451B</w:t>
            </w:r>
          </w:p>
        </w:tc>
        <w:tc>
          <w:tcPr>
            <w:tcW w:type="dxa" w:w="1080"/>
          </w:tcPr>
          <w:p>
            <w:r>
              <w:rPr>
                <w:rFonts w:ascii="Calibri" w:hAnsi="Calibri"/>
                <w:sz w:val="22"/>
              </w:rPr>
              <w:t>+0.1%</w:t>
            </w:r>
          </w:p>
        </w:tc>
        <w:tc>
          <w:tcPr>
            <w:tcW w:type="dxa" w:w="1080"/>
          </w:tcPr>
          <w:p>
            <w:r>
              <w:rPr>
                <w:rFonts w:ascii="Calibri" w:hAnsi="Calibri"/>
                <w:sz w:val="22"/>
              </w:rPr>
              <w:t>~6% organic growth</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~+0.6% above guide midpoint</w:t>
            </w:r>
          </w:p>
        </w:tc>
      </w:tr>
      <w:tr>
        <w:tc>
          <w:tcPr>
            <w:tcW w:type="dxa" w:w="1080"/>
          </w:tcPr>
          <w:p>
            <w:r>
              <w:rPr>
                <w:rFonts w:ascii="Calibri" w:hAnsi="Calibri"/>
                <w:sz w:val="22"/>
              </w:rPr>
              <w:t>EBITA — Q3 FY2026</w:t>
            </w:r>
          </w:p>
        </w:tc>
        <w:tc>
          <w:tcPr>
            <w:tcW w:type="dxa" w:w="1080"/>
          </w:tcPr>
          <w:p>
            <w:r>
              <w:rPr>
                <w:rFonts w:ascii="Calibri" w:hAnsi="Calibri"/>
                <w:sz w:val="22"/>
              </w:rPr>
              <w:t>$1.207B</w:t>
            </w:r>
          </w:p>
        </w:tc>
        <w:tc>
          <w:tcPr>
            <w:tcW w:type="dxa" w:w="1080"/>
          </w:tcPr>
          <w:p>
            <w:r>
              <w:rPr>
                <w:rFonts w:ascii="Calibri" w:hAnsi="Calibri"/>
                <w:sz w:val="22"/>
              </w:rPr>
              <w:t>$1.211B</w:t>
            </w:r>
          </w:p>
        </w:tc>
        <w:tc>
          <w:tcPr>
            <w:tcW w:type="dxa" w:w="1080"/>
          </w:tcPr>
          <w:p>
            <w:r>
              <w:rPr>
                <w:rFonts w:ascii="Calibri" w:hAnsi="Calibri"/>
                <w:sz w:val="22"/>
              </w:rPr>
              <w:t>+0.3%</w:t>
            </w:r>
          </w:p>
        </w:tc>
        <w:tc>
          <w:tcPr>
            <w:tcW w:type="dxa" w:w="1080"/>
          </w:tcPr>
          <w:p>
            <w:r>
              <w:rPr>
                <w:rFonts w:ascii="Calibri" w:hAnsi="Calibri"/>
                <w:sz w:val="22"/>
              </w:rPr>
              <w:t>~45% operating leverage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 line</w:t>
            </w:r>
          </w:p>
        </w:tc>
      </w:tr>
      <w:tr>
        <w:tc>
          <w:tcPr>
            <w:tcW w:type="dxa" w:w="1080"/>
          </w:tcPr>
          <w:p>
            <w:r>
              <w:rPr>
                <w:rFonts w:ascii="Calibri" w:hAnsi="Calibri"/>
                <w:sz w:val="22"/>
              </w:rPr>
              <w:t>EBITA Margin — Q3 FY2026</w:t>
            </w:r>
          </w:p>
        </w:tc>
        <w:tc>
          <w:tcPr>
            <w:tcW w:type="dxa" w:w="1080"/>
          </w:tcPr>
          <w:p>
            <w:r>
              <w:rPr>
                <w:rFonts w:ascii="Calibri" w:hAnsi="Calibri"/>
                <w:sz w:val="22"/>
              </w:rPr>
              <w:t>18.75%</w:t>
            </w:r>
          </w:p>
        </w:tc>
        <w:tc>
          <w:tcPr>
            <w:tcW w:type="dxa" w:w="1080"/>
          </w:tcPr>
          <w:p>
            <w:r>
              <w:rPr>
                <w:rFonts w:ascii="Calibri" w:hAnsi="Calibri"/>
                <w:sz w:val="22"/>
              </w:rPr>
              <w:t>18.77%</w:t>
            </w:r>
          </w:p>
        </w:tc>
        <w:tc>
          <w:tcPr>
            <w:tcW w:type="dxa" w:w="1080"/>
          </w:tcPr>
          <w:p>
            <w:r>
              <w:rPr>
                <w:rFonts w:ascii="Calibri" w:hAnsi="Calibri"/>
                <w:sz w:val="22"/>
              </w:rPr>
              <w:t>+0.1%</w:t>
            </w:r>
          </w:p>
        </w:tc>
        <w:tc>
          <w:tcPr>
            <w:tcW w:type="dxa" w:w="1080"/>
          </w:tcPr>
          <w:p>
            <w:r>
              <w:rPr>
                <w:rFonts w:ascii="Calibri" w:hAnsi="Calibri"/>
                <w:sz w:val="22"/>
              </w:rPr>
              <w:t>~45% leverage implies ~18.5–19.0%</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 line</w:t>
            </w:r>
          </w:p>
        </w:tc>
      </w:tr>
      <w:tr>
        <w:tc>
          <w:tcPr>
            <w:tcW w:type="dxa" w:w="1080"/>
          </w:tcPr>
          <w:p>
            <w:r>
              <w:rPr>
                <w:rFonts w:ascii="Calibri" w:hAnsi="Calibri"/>
                <w:sz w:val="22"/>
              </w:rPr>
              <w:t>Adj. EPS — FY2026</w:t>
            </w:r>
          </w:p>
        </w:tc>
        <w:tc>
          <w:tcPr>
            <w:tcW w:type="dxa" w:w="1080"/>
          </w:tcPr>
          <w:p>
            <w:r>
              <w:rPr>
                <w:rFonts w:ascii="Calibri" w:hAnsi="Calibri"/>
                <w:sz w:val="22"/>
              </w:rPr>
              <w:t>$4.866</w:t>
            </w:r>
          </w:p>
        </w:tc>
        <w:tc>
          <w:tcPr>
            <w:tcW w:type="dxa" w:w="1080"/>
          </w:tcPr>
          <w:p>
            <w:r>
              <w:rPr>
                <w:rFonts w:ascii="Calibri" w:hAnsi="Calibri"/>
                <w:sz w:val="22"/>
              </w:rPr>
              <w:t>$4.903</w:t>
            </w:r>
          </w:p>
        </w:tc>
        <w:tc>
          <w:tcPr>
            <w:tcW w:type="dxa" w:w="1080"/>
          </w:tcPr>
          <w:p>
            <w:r>
              <w:rPr>
                <w:rFonts w:ascii="Calibri" w:hAnsi="Calibri"/>
                <w:b/>
                <w:color w:val="30A46C"/>
                <w:sz w:val="22"/>
              </w:rPr>
              <w:t>+0.8%</w:t>
            </w:r>
          </w:p>
        </w:tc>
        <w:tc>
          <w:tcPr>
            <w:tcW w:type="dxa" w:w="1080"/>
          </w:tcPr>
          <w:p>
            <w:r>
              <w:rPr>
                <w:rFonts w:ascii="Calibri" w:hAnsi="Calibri"/>
                <w:sz w:val="22"/>
              </w:rPr>
              <w:t>~$4.85</w:t>
            </w:r>
          </w:p>
        </w:tc>
        <w:tc>
          <w:tcPr>
            <w:tcW w:type="dxa" w:w="1080"/>
          </w:tcPr>
          <w:p>
            <w:r>
              <w:rPr>
                <w:rFonts w:ascii="Calibri" w:hAnsi="Calibri"/>
                <w:sz w:val="22"/>
              </w:rPr>
              <w:t>Unchanged (reaffirmed Gemba Day)</w:t>
            </w:r>
          </w:p>
        </w:tc>
        <w:tc>
          <w:tcPr>
            <w:tcW w:type="dxa" w:w="1080"/>
          </w:tcPr>
          <w:p>
            <w:r>
              <w:rPr>
                <w:rFonts w:ascii="Calibri" w:hAnsi="Calibri"/>
                <w:sz w:val="22"/>
              </w:rPr>
              <w:t>—</w:t>
            </w:r>
          </w:p>
        </w:tc>
        <w:tc>
          <w:tcPr>
            <w:tcW w:type="dxa" w:w="1080"/>
          </w:tcPr>
          <w:p>
            <w:r>
              <w:rPr>
                <w:rFonts w:ascii="Calibri" w:hAnsi="Calibri"/>
                <w:sz w:val="22"/>
              </w:rPr>
              <w:t>+1.1% above guide</w:t>
            </w:r>
          </w:p>
        </w:tc>
      </w:tr>
      <w:tr>
        <w:tc>
          <w:tcPr>
            <w:tcW w:type="dxa" w:w="1080"/>
          </w:tcPr>
          <w:p>
            <w:r>
              <w:rPr>
                <w:rFonts w:ascii="Calibri" w:hAnsi="Calibri"/>
                <w:sz w:val="22"/>
              </w:rPr>
              <w:t>Revenue — FY2026</w:t>
            </w:r>
          </w:p>
        </w:tc>
        <w:tc>
          <w:tcPr>
            <w:tcW w:type="dxa" w:w="1080"/>
          </w:tcPr>
          <w:p>
            <w:r>
              <w:rPr>
                <w:rFonts w:ascii="Calibri" w:hAnsi="Calibri"/>
                <w:sz w:val="22"/>
              </w:rPr>
              <w:t>$25.236B</w:t>
            </w:r>
          </w:p>
        </w:tc>
        <w:tc>
          <w:tcPr>
            <w:tcW w:type="dxa" w:w="1080"/>
          </w:tcPr>
          <w:p>
            <w:r>
              <w:rPr>
                <w:rFonts w:ascii="Calibri" w:hAnsi="Calibri"/>
                <w:sz w:val="22"/>
              </w:rPr>
              <w:t>$25.255B</w:t>
            </w:r>
          </w:p>
        </w:tc>
        <w:tc>
          <w:tcPr>
            <w:tcW w:type="dxa" w:w="1080"/>
          </w:tcPr>
          <w:p>
            <w:r>
              <w:rPr>
                <w:rFonts w:ascii="Calibri" w:hAnsi="Calibri"/>
                <w:sz w:val="22"/>
              </w:rPr>
              <w:t>+0.1%</w:t>
            </w:r>
          </w:p>
        </w:tc>
        <w:tc>
          <w:tcPr>
            <w:tcW w:type="dxa" w:w="1080"/>
          </w:tcPr>
          <w:p>
            <w:r>
              <w:rPr>
                <w:rFonts w:ascii="Calibri" w:hAnsi="Calibri"/>
                <w:sz w:val="22"/>
              </w:rPr>
              <w:t>~6% organic growth</w:t>
            </w:r>
          </w:p>
        </w:tc>
        <w:tc>
          <w:tcPr>
            <w:tcW w:type="dxa" w:w="1080"/>
          </w:tcPr>
          <w:p>
            <w:r>
              <w:rPr>
                <w:rFonts w:ascii="Calibri" w:hAnsi="Calibri"/>
                <w:sz w:val="22"/>
              </w:rPr>
              <w:t>Unchanged (reaffirmed Gemba Day)</w:t>
            </w:r>
          </w:p>
        </w:tc>
        <w:tc>
          <w:tcPr>
            <w:tcW w:type="dxa" w:w="1080"/>
          </w:tcPr>
          <w:p>
            <w:r>
              <w:rPr>
                <w:rFonts w:ascii="Calibri" w:hAnsi="Calibri"/>
                <w:sz w:val="22"/>
              </w:rPr>
              <w:t>—</w:t>
            </w:r>
          </w:p>
        </w:tc>
        <w:tc>
          <w:tcPr>
            <w:tcW w:type="dxa" w:w="1080"/>
          </w:tcPr>
          <w:p>
            <w:r>
              <w:rPr>
                <w:rFonts w:ascii="Calibri" w:hAnsi="Calibri"/>
                <w:sz w:val="22"/>
              </w:rPr>
              <w:t>In line</w:t>
            </w:r>
          </w:p>
        </w:tc>
      </w:tr>
      <w:tr>
        <w:tc>
          <w:tcPr>
            <w:tcW w:type="dxa" w:w="1080"/>
          </w:tcPr>
          <w:p>
            <w:r>
              <w:rPr>
                <w:rFonts w:ascii="Calibri" w:hAnsi="Calibri"/>
                <w:sz w:val="22"/>
              </w:rPr>
              <w:t>FCF — Q3 FY2026</w:t>
            </w:r>
          </w:p>
        </w:tc>
        <w:tc>
          <w:tcPr>
            <w:tcW w:type="dxa" w:w="1080"/>
          </w:tcPr>
          <w:p>
            <w:r>
              <w:rPr>
                <w:rFonts w:ascii="Calibri" w:hAnsi="Calibri"/>
                <w:sz w:val="22"/>
              </w:rPr>
              <w:t>$751M</w:t>
            </w:r>
          </w:p>
        </w:tc>
        <w:tc>
          <w:tcPr>
            <w:tcW w:type="dxa" w:w="1080"/>
          </w:tcPr>
          <w:p>
            <w:r>
              <w:rPr>
                <w:rFonts w:ascii="Calibri" w:hAnsi="Calibri"/>
                <w:sz w:val="22"/>
              </w:rPr>
              <w:t>$808M</w:t>
            </w:r>
          </w:p>
        </w:tc>
        <w:tc>
          <w:tcPr>
            <w:tcW w:type="dxa" w:w="1080"/>
          </w:tcPr>
          <w:p>
            <w:r>
              <w:rPr>
                <w:rFonts w:ascii="Calibri" w:hAnsi="Calibri"/>
                <w:b/>
                <w:color w:val="30A46C"/>
                <w:sz w:val="22"/>
              </w:rPr>
              <w:t>+7.6%</w:t>
            </w:r>
          </w:p>
        </w:tc>
        <w:tc>
          <w:tcPr>
            <w:tcW w:type="dxa" w:w="1080"/>
          </w:tcPr>
          <w:p>
            <w:r>
              <w:rPr>
                <w:rFonts w:ascii="Calibri" w:hAnsi="Calibri"/>
                <w:sz w:val="22"/>
              </w:rPr>
              <w:t>~100% FCF conversion (FY)</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 (FY-level guide)</w:t>
            </w:r>
          </w:p>
        </w:tc>
      </w:tr>
    </w:tbl>
    <w:p>
      <w:r>
        <w:rPr>
          <w:rFonts w:ascii="Calibri" w:hAnsi="Calibri"/>
          <w:color w:val="525866"/>
          <w:sz w:val="22"/>
        </w:rPr>
        <w:t>Estimates have been remarkably stable since the Q2 print, with Q3 EPS up just $0.015 and FY EPS up $0.037 — the Street is tracking guidance closely rather than getting ahead of it. The FCF revision (+7.6% for Q3) is the most notable move, suggesting analysts are gaining confidence in working capital management as Lean principles take hold.</w:t>
      </w:r>
    </w:p>
    <w:p>
      <w:r>
        <w:rPr>
          <w:rFonts w:ascii="Calibri" w:hAnsi="Calibri"/>
          <w:i/>
          <w:color w:val="525866"/>
          <w:sz w:val="22"/>
        </w:rPr>
        <w:t>Source: Visible Alpha Consensus and Actuals Data (as-of date: May 11, 2026 for baseline; latest as of July 28, 2026 for current).</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JCI has underperformed both XLI (+3.2%) and the S&amp;P 500 (+1.0%) since the Q2 print, returning −2.0% on an indexed basis — </w:t>
      </w:r>
      <w:r>
        <w:rPr>
          <w:rFonts w:ascii="Calibri" w:hAnsi="Calibri"/>
          <w:b/>
          <w:color w:val="525866"/>
          <w:sz w:val="22"/>
        </w:rPr>
        <w:t>the underperformance is multiple-driven, not revision-driven</w:t>
      </w:r>
      <w:r>
        <w:rPr>
          <w:rFonts w:ascii="Calibri" w:hAnsi="Calibri"/>
          <w:color w:val="525866"/>
          <w:sz w:val="22"/>
        </w:rPr>
        <w:t>, as estimates have moved modestly higher. The market appears to be discounting the pace of backlog conversion and the security service headwind rather than questioning the demand thesis.</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JCI vs. XLI vs. S&amp;P 500 — Indexed to 100 at Q2 FY2026 Earnings (May 6, 2026). Source: Stock Price Data.</w:t>
      </w:r>
    </w:p>
    <w:p>
      <w:pPr>
        <w:pStyle w:val="ListBullet"/>
        <w:ind w:left="360" w:hanging="360"/>
      </w:pPr>
      <w:r>
        <w:rPr>
          <w:rFonts w:ascii="Calibri" w:hAnsi="Calibri"/>
          <w:b/>
          <w:color w:val="525866"/>
          <w:sz w:val="22"/>
        </w:rPr>
        <w:t xml:space="preserve">May 6 (Q2 Earnings): </w:t>
      </w:r>
      <w:r>
        <w:rPr>
          <w:rFonts w:ascii="Calibri" w:hAnsi="Calibri"/>
          <w:color w:val="525866"/>
          <w:sz w:val="22"/>
        </w:rPr>
        <w:t>JCI opened near flat despite a solid beat; stock drifted lower in subsequent sessions as investors focused on backlog conversion timing risk and security service softness.</w:t>
      </w:r>
    </w:p>
    <w:p>
      <w:pPr>
        <w:pStyle w:val="ListBullet"/>
        <w:ind w:left="360" w:hanging="360"/>
      </w:pPr>
      <w:r>
        <w:rPr>
          <w:rFonts w:ascii="Calibri" w:hAnsi="Calibri"/>
          <w:b/>
          <w:color w:val="525866"/>
          <w:sz w:val="22"/>
        </w:rPr>
        <w:t xml:space="preserve">May 18–29 (Pullback): </w:t>
      </w:r>
      <w:r>
        <w:rPr>
          <w:rFonts w:ascii="Calibri" w:hAnsi="Calibri"/>
          <w:color w:val="525866"/>
          <w:sz w:val="22"/>
        </w:rPr>
        <w:t>JCI fell from ~$145 to ~$134, underperforming XLI, as broader market concerns and sector rotation weighed on industrial names.</w:t>
      </w:r>
    </w:p>
    <w:p>
      <w:pPr>
        <w:pStyle w:val="ListBullet"/>
        <w:ind w:left="360" w:hanging="360"/>
      </w:pPr>
      <w:r>
        <w:rPr>
          <w:rFonts w:ascii="Calibri" w:hAnsi="Calibri"/>
          <w:b/>
          <w:color w:val="525866"/>
          <w:sz w:val="22"/>
        </w:rPr>
        <w:t xml:space="preserve">June 1–3 (Gemba Day Catalyst): </w:t>
      </w:r>
      <w:r>
        <w:rPr>
          <w:rFonts w:ascii="Calibri" w:hAnsi="Calibri"/>
          <w:color w:val="525866"/>
          <w:sz w:val="22"/>
        </w:rPr>
        <w:t>JCI surged from ~$134 to ~$147 (+10%) following the Gemba Day investor event, where management demonstrated quadrupling of manufacturing capacity at one site and upgraded the long-term organic growth algorithm to high-single digits.</w:t>
      </w:r>
    </w:p>
    <w:p>
      <w:pPr>
        <w:pStyle w:val="ListBullet"/>
        <w:ind w:left="360" w:hanging="360"/>
      </w:pPr>
      <w:r>
        <w:rPr>
          <w:rFonts w:ascii="Calibri" w:hAnsi="Calibri"/>
          <w:b/>
          <w:color w:val="525866"/>
          <w:sz w:val="22"/>
        </w:rPr>
        <w:t xml:space="preserve">June 10 (Pullback): </w:t>
      </w:r>
      <w:r>
        <w:rPr>
          <w:rFonts w:ascii="Calibri" w:hAnsi="Calibri"/>
          <w:color w:val="525866"/>
          <w:sz w:val="22"/>
        </w:rPr>
        <w:t>JCI pulled back to ~$139 alongside broader market weakness.</w:t>
      </w:r>
    </w:p>
    <w:p>
      <w:pPr>
        <w:pStyle w:val="ListBullet"/>
        <w:ind w:left="360" w:hanging="360"/>
      </w:pPr>
      <w:r>
        <w:rPr>
          <w:rFonts w:ascii="Calibri" w:hAnsi="Calibri"/>
          <w:b/>
          <w:color w:val="525866"/>
          <w:sz w:val="22"/>
        </w:rPr>
        <w:t xml:space="preserve">June 22 – July 28 (Gradual Fade): </w:t>
      </w:r>
      <w:r>
        <w:rPr>
          <w:rFonts w:ascii="Calibri" w:hAnsi="Calibri"/>
          <w:color w:val="525866"/>
          <w:sz w:val="22"/>
        </w:rPr>
        <w:t>JCI has drifted from ~$148 to ~$140, underperforming XLI which has continued to grind higher, suggesting sector rotation into other industrials and investor caution ahead of the print.</w:t>
      </w:r>
    </w:p>
    <w:p>
      <w:r>
        <w:rPr>
          <w:rFonts w:ascii="Calibri" w:hAnsi="Calibri"/>
          <w:color w:val="525866"/>
          <w:sz w:val="22"/>
        </w:rPr>
        <w:t>As of July 28, 2026: JCI closed at $140.28 (indexed: 98.0), XLI at $182.49 (indexed: 103.2), SPY at $740.86 (indexed: 101.0). Sector ETF used: XLI (iShares U.S. Industrials ETF), appropriate for JCI’s building technology and HVAC sub-sector.</w:t>
      </w:r>
    </w:p>
    <w:p>
      <w:r>
        <w:rPr>
          <w:rFonts w:ascii="Calibri" w:hAnsi="Calibri"/>
          <w:i/>
          <w:color w:val="525866"/>
          <w:sz w:val="22"/>
        </w:rPr>
        <w:t>Source: Stock Price Data (Yahoo Finance).</w:t>
      </w:r>
    </w:p>
    <w:p>
      <w:r>
        <w:br w:type="page"/>
      </w:r>
    </w:p>
    <w:p>
      <w:pPr>
        <w:pStyle w:val="Heading2"/>
      </w:pPr>
      <w:r>
        <w:rPr>
          <w:rFonts w:ascii="Calibri" w:hAnsi="Calibri"/>
          <w:b/>
          <w:color w:val="3B4259"/>
          <w:sz w:val="28"/>
        </w:rPr>
        <w:t>6. Peer Commentaries — Read-Through for JCI Q3 FY2026</w:t>
      </w:r>
    </w:p>
    <w:p>
      <w:r>
        <w:rPr>
          <w:rFonts w:ascii="Calibri" w:hAnsi="Calibri"/>
          <w:b/>
          <w:color w:val="525866"/>
          <w:sz w:val="22"/>
        </w:rPr>
        <w:t xml:space="preserve">Key Takeaway: </w:t>
      </w:r>
      <w:r>
        <w:rPr>
          <w:rFonts w:ascii="Calibri" w:hAnsi="Calibri"/>
          <w:color w:val="525866"/>
          <w:sz w:val="22"/>
        </w:rPr>
        <w:t xml:space="preserve">Peer commentary from CARR (Q2 2026, reported July 28, 2026) and AAON (Q1 2026, reported May 7, 2026) is strongly positive for JCI’s Q3 print — </w:t>
      </w:r>
      <w:r>
        <w:rPr>
          <w:rFonts w:ascii="Calibri" w:hAnsi="Calibri"/>
          <w:b/>
          <w:color w:val="525866"/>
          <w:sz w:val="22"/>
        </w:rPr>
        <w:t>data center HVAC demand is accelerating, not decelerating</w:t>
      </w:r>
      <w:r>
        <w:rPr>
          <w:rFonts w:ascii="Calibri" w:hAnsi="Calibri"/>
          <w:color w:val="525866"/>
          <w:sz w:val="22"/>
        </w:rPr>
        <w:t>, with CARR raising its full-year data center revenue outlook to $2B (second consecutive year of doubling) and AAON reporting 72% YoY data center sales growth. Both peers are seeing record backlogs and raising guidance, which is a direct read-through for JCI’s own order momentum and backlog conversion narrative.</w:t>
      </w:r>
    </w:p>
    <w:p>
      <w:pPr>
        <w:pStyle w:val="Heading3"/>
      </w:pPr>
      <w:r>
        <w:rPr>
          <w:rFonts w:ascii="Calibri" w:hAnsi="Calibri"/>
          <w:b/>
          <w:color w:val="3B4259"/>
          <w:sz w:val="24"/>
        </w:rPr>
        <w:t>Carrier Global (CARR) — Q2 2026 Earnings (Reported July 28, 2026)</w:t>
      </w:r>
    </w:p>
    <w:p>
      <w:r>
        <w:rPr>
          <w:rFonts w:ascii="Calibri" w:hAnsi="Calibri"/>
          <w:b/>
          <w:color w:val="525866"/>
          <w:sz w:val="22"/>
        </w:rPr>
        <w:t xml:space="preserve">Relevance: </w:t>
      </w:r>
      <w:r>
        <w:rPr>
          <w:rFonts w:ascii="Calibri" w:hAnsi="Calibri"/>
          <w:color w:val="525866"/>
          <w:sz w:val="22"/>
        </w:rPr>
        <w:t>CARR is JCI’s most direct peer in commercial HVAC and data center cooling. CARR reported Q2 2026 results today (July 28), the day before JCI’s Q3 print — making this the most timely and relevant read-through available.</w:t>
      </w:r>
    </w:p>
    <w:p>
      <w:pPr>
        <w:pStyle w:val="ListBullet"/>
        <w:ind w:left="360" w:hanging="360"/>
      </w:pPr>
      <w:r>
        <w:rPr>
          <w:rFonts w:ascii="Calibri" w:hAnsi="Calibri"/>
          <w:b/>
          <w:color w:val="525866"/>
          <w:sz w:val="22"/>
        </w:rPr>
        <w:t xml:space="preserve">Data center orders up 4x YoY in Q2 2026: </w:t>
      </w:r>
      <w:r>
        <w:rPr>
          <w:rFonts w:ascii="Calibri" w:hAnsi="Calibri"/>
          <w:color w:val="525866"/>
          <w:sz w:val="22"/>
        </w:rPr>
        <w:t>CARR reported total company orders up ~40%, with commercial HVAC orders up ~65%, driven by data centers where orders were up 4x over the prior year. This is a strong positive read-through for JCI’s own data center order momentum, which was +30% in Q2 FY2026 (Americas systems +60%). CARR’s data suggests the data center demand wave is accelerating into the second half of calendar 2026.</w:t>
      </w:r>
    </w:p>
    <w:p>
      <w:pPr>
        <w:pStyle w:val="ListBullet"/>
        <w:ind w:left="360" w:hanging="360"/>
      </w:pPr>
      <w:r>
        <w:rPr>
          <w:rFonts w:ascii="Calibri" w:hAnsi="Calibri"/>
          <w:b/>
          <w:color w:val="525866"/>
          <w:sz w:val="22"/>
        </w:rPr>
        <w:t xml:space="preserve">Full-year data center revenue raised to $2B (second consecutive year of doubling): </w:t>
      </w:r>
      <w:r>
        <w:rPr>
          <w:rFonts w:ascii="Calibri" w:hAnsi="Calibri"/>
          <w:color w:val="525866"/>
          <w:sz w:val="22"/>
        </w:rPr>
        <w:t>CARR increased its FY2026 data center sales outlook to ~$2B, up from prior guidance of $1.5B, representing the second consecutive year of doubling. This validates JCI’s own data center growth narrative and suggests the market is not slowing. CARR noted its 2026 data center forecast is entirely in backlog, with active efforts to build 2027 backlog through hyperscaler and colocation partnerships.</w:t>
      </w:r>
    </w:p>
    <w:p>
      <w:pPr>
        <w:pStyle w:val="ListBullet"/>
        <w:ind w:left="360" w:hanging="360"/>
      </w:pPr>
      <w:r>
        <w:rPr>
          <w:rFonts w:ascii="Calibri" w:hAnsi="Calibri"/>
          <w:b/>
          <w:color w:val="525866"/>
          <w:sz w:val="22"/>
        </w:rPr>
        <w:t xml:space="preserve">Record backlog of $8B+ (up 40% YoY, 20% sequentially): </w:t>
      </w:r>
      <w:r>
        <w:rPr>
          <w:rFonts w:ascii="Calibri" w:hAnsi="Calibri"/>
          <w:color w:val="525866"/>
          <w:sz w:val="22"/>
        </w:rPr>
        <w:t>CARR’s total company backlog exceeded $8B, with commercial backlog comprising ~65–70% of the total and data centers representing ~40% of commercial backlog. This mirrors JCI’s own record $20B backlog and supports the thesis that backlog conversion will drive revenue acceleration in H2 2026.</w:t>
      </w:r>
    </w:p>
    <w:p>
      <w:pPr>
        <w:pStyle w:val="ListBullet"/>
        <w:ind w:left="360" w:hanging="360"/>
      </w:pPr>
      <w:r>
        <w:rPr>
          <w:rFonts w:ascii="Calibri" w:hAnsi="Calibri"/>
          <w:b/>
          <w:color w:val="525866"/>
          <w:sz w:val="22"/>
        </w:rPr>
        <w:t xml:space="preserve">Customers pushing for accelerated deliveries, not delays: </w:t>
      </w:r>
      <w:r>
        <w:rPr>
          <w:rFonts w:ascii="Calibri" w:hAnsi="Calibri"/>
          <w:color w:val="525866"/>
          <w:sz w:val="22"/>
        </w:rPr>
        <w:t>CARR stated it is “fully booked for the second half” with customers pushing to accelerate deliveries. This is a direct counter to investor concerns about JCI’s backlog conversion timing risk (power infrastructure delays). While JCI flagged some customers pushing deliveries beyond 12–18 months due to power constraints, CARR’s commentary suggests the broader demand environment remains urgent.</w:t>
      </w:r>
    </w:p>
    <w:p>
      <w:pPr>
        <w:pStyle w:val="ListBullet"/>
        <w:ind w:left="360" w:hanging="360"/>
      </w:pPr>
      <w:r>
        <w:rPr>
          <w:rFonts w:ascii="Calibri" w:hAnsi="Calibri"/>
          <w:b/>
          <w:color w:val="525866"/>
          <w:sz w:val="22"/>
        </w:rPr>
        <w:t xml:space="preserve">Data center margins accretive to commercial HVAC: </w:t>
      </w:r>
      <w:r>
        <w:rPr>
          <w:rFonts w:ascii="Calibri" w:hAnsi="Calibri"/>
          <w:color w:val="525866"/>
          <w:sz w:val="22"/>
        </w:rPr>
        <w:t>CARR confirmed that data center margins are “generally accretive to overall commercial HVAC margins,” consistent with JCI’s own commentary that the Controls franchise is “very accretive to fleet average.” This supports JCI’s margin expansion thesis as data center mix increases.</w:t>
      </w:r>
    </w:p>
    <w:p>
      <w:pPr>
        <w:pStyle w:val="ListBullet"/>
        <w:ind w:left="360" w:hanging="360"/>
      </w:pPr>
      <w:r>
        <w:rPr>
          <w:rFonts w:ascii="Calibri" w:hAnsi="Calibri"/>
          <w:b/>
          <w:color w:val="525866"/>
          <w:sz w:val="22"/>
        </w:rPr>
        <w:t xml:space="preserve">Liquid cooling expansion (CDUs): </w:t>
      </w:r>
      <w:r>
        <w:rPr>
          <w:rFonts w:ascii="Calibri" w:hAnsi="Calibri"/>
          <w:color w:val="525866"/>
          <w:sz w:val="22"/>
        </w:rPr>
        <w:t>CARR is launching 2.5–2.6MW and 5MW CDUs later in 2026, alongside its existing 1.3MW CDU. This is relevant context for JCI’s own CDU ambitions (targeting ~$100M in CDU revenue in FY2026) and the Alloy Enterprises acquisition, which adds heat transfer capabilities for chillers, CDUs, and cold plates.</w:t>
      </w:r>
    </w:p>
    <w:p>
      <w:pPr>
        <w:pStyle w:val="ListBullet"/>
        <w:ind w:left="360" w:hanging="360"/>
      </w:pPr>
      <w:r>
        <w:rPr>
          <w:rFonts w:ascii="Calibri" w:hAnsi="Calibri"/>
          <w:b/>
          <w:color w:val="525866"/>
          <w:sz w:val="22"/>
        </w:rPr>
        <w:t xml:space="preserve">New U.S. manufacturing facility announced: </w:t>
      </w:r>
      <w:r>
        <w:rPr>
          <w:rFonts w:ascii="Calibri" w:hAnsi="Calibri"/>
          <w:color w:val="525866"/>
          <w:sz w:val="22"/>
        </w:rPr>
        <w:t>CARR is finalizing plans for a new U.S. site (Texas or Alabama) to produce air-cooled and water-cooled chillers, targeting operational by end of Q1 2027. This signals the industry is investing in hard capacity to meet sustained data center demand — consistent with JCI’s own commentary that hard capacity will be needed for data centers over the next 5 years.</w:t>
      </w:r>
    </w:p>
    <w:p>
      <w:pPr>
        <w:pStyle w:val="ListBullet"/>
        <w:ind w:left="360" w:hanging="360"/>
      </w:pPr>
      <w:r>
        <w:rPr>
          <w:rFonts w:ascii="Calibri" w:hAnsi="Calibri"/>
          <w:b/>
          <w:color w:val="525866"/>
          <w:sz w:val="22"/>
        </w:rPr>
        <w:t xml:space="preserve">Full-year guidance raised: </w:t>
      </w:r>
      <w:r>
        <w:rPr>
          <w:rFonts w:ascii="Calibri" w:hAnsi="Calibri"/>
          <w:color w:val="525866"/>
          <w:sz w:val="22"/>
        </w:rPr>
        <w:t>CARR raised FY2026 sales to ~$23B (organic growth mid-to-high single digits), adjusted operating profit to ~$3.5B, and adjusted EPS to ~$2.90. Q3 organic growth guided at ~10%. This is a strong positive read-through for JCI’s own FY2026 guidance trajectory.</w:t>
      </w:r>
    </w:p>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Q2 earnings is the Gemba Day investor event (June 1), which upgraded the long-term growth algorithm and demonstrated tangible manufacturing productivity gains — </w:t>
      </w:r>
      <w:r>
        <w:rPr>
          <w:rFonts w:ascii="Calibri" w:hAnsi="Calibri"/>
          <w:b/>
          <w:color w:val="525866"/>
          <w:sz w:val="22"/>
        </w:rPr>
        <w:t>this is the clearest signal yet that the business system is delivering real results, not just narrative</w:t>
      </w:r>
      <w:r>
        <w:rPr>
          <w:rFonts w:ascii="Calibri" w:hAnsi="Calibri"/>
          <w:color w:val="525866"/>
          <w:sz w:val="22"/>
        </w:rPr>
        <w:t>. CARR’s blowout Q2 report today is the most timely catalyst heading into tomorrow’s print.</w:t>
      </w:r>
    </w:p>
    <w:p>
      <w:pPr>
        <w:pStyle w:val="ListBullet"/>
        <w:ind w:left="360" w:hanging="360"/>
      </w:pPr>
      <w:r>
        <w:rPr>
          <w:rFonts w:ascii="Calibri" w:hAnsi="Calibri"/>
          <w:b/>
          <w:color w:val="525866"/>
          <w:sz w:val="22"/>
        </w:rPr>
        <w:t xml:space="preserve">July 28, 2026 — CARR Q2 2026 Earnings (Blowout): </w:t>
      </w:r>
      <w:r>
        <w:rPr>
          <w:rFonts w:ascii="Calibri" w:hAnsi="Calibri"/>
          <w:color w:val="525866"/>
          <w:sz w:val="22"/>
        </w:rPr>
        <w:t>Carrier reported data center orders up 4x YoY, raised full-year data center revenue to $2B, and lifted EPS guidance to $2.90. This is the most direct and timely positive read-through for JCI’s Q3 print, validating the data center demand thesis and potentially resetting buy-side expectations higher heading into tomorrow’s call.</w:t>
      </w:r>
    </w:p>
    <w:p>
      <w:pPr>
        <w:pStyle w:val="ListBullet"/>
        <w:ind w:left="360" w:hanging="360"/>
      </w:pPr>
      <w:r>
        <w:rPr>
          <w:rFonts w:ascii="Calibri" w:hAnsi="Calibri"/>
          <w:b/>
          <w:color w:val="525866"/>
          <w:sz w:val="22"/>
        </w:rPr>
        <w:t xml:space="preserve">June 1, 2026 — Gemba Day Investor Event (Transformational): </w:t>
      </w:r>
      <w:r>
        <w:rPr>
          <w:rFonts w:ascii="Calibri" w:hAnsi="Calibri"/>
          <w:color w:val="525866"/>
          <w:sz w:val="22"/>
        </w:rPr>
        <w:t>JCI hosted its first “Going to Gemba Day” event, demonstrating tangible business system results including: (1) quadrupling manufacturing capacity at one site without adding capital or people; (2) 100% on-time delivery (up from 43% four months prior); (3) 50% inventory reduction; (4) 70% reduction in engineering cycle time; (5) doubling of customer-facing time for sales and service teams. Management upgraded the long-term organic growth algorithm from mid-single digit to high-single digit and committed to double-digit EPS growth with 95–100% FCF conversion. Data center TAM cited at $7T by 2030, with data centers expected to grow from 12% of revenue in FY2025 to ~1/3 of the company within 5 years.</w:t>
      </w:r>
    </w:p>
    <w:p>
      <w:pPr>
        <w:pStyle w:val="ListBullet"/>
        <w:ind w:left="360" w:hanging="360"/>
      </w:pPr>
      <w:r>
        <w:rPr>
          <w:rFonts w:ascii="Calibri" w:hAnsi="Calibri"/>
          <w:b/>
          <w:color w:val="525866"/>
          <w:sz w:val="22"/>
        </w:rPr>
        <w:t xml:space="preserve">May 13, 2026 — Value Growth Incentive (VGI) Program Adopted (8-K): </w:t>
      </w:r>
      <w:r>
        <w:rPr>
          <w:rFonts w:ascii="Calibri" w:hAnsi="Calibri"/>
          <w:color w:val="525866"/>
          <w:sz w:val="22"/>
        </w:rPr>
        <w:t>JCI’s board adopted a 5-year performance-based compensation program (FY2026–FY2030) for the CEO ($10.5M target), CFO ($5.3M), and CHRO ($5.3M). Options vest only if JCI achieves ambitious sales growth and market cap targets over the period. This is a strong alignment signal — management is betting their compensation on delivering the transformation, not just talking about it.</w:t>
      </w:r>
    </w:p>
    <w:p>
      <w:pPr>
        <w:pStyle w:val="ListBullet"/>
        <w:ind w:left="360" w:hanging="360"/>
      </w:pPr>
      <w:r>
        <w:rPr>
          <w:rFonts w:ascii="Calibri" w:hAnsi="Calibri"/>
          <w:b/>
          <w:color w:val="525866"/>
          <w:sz w:val="22"/>
        </w:rPr>
        <w:t xml:space="preserve">May 7, 2026 — Q2 FY2026 Earnings Revision (8-K/A): </w:t>
      </w:r>
      <w:r>
        <w:rPr>
          <w:rFonts w:ascii="Calibri" w:hAnsi="Calibri"/>
          <w:color w:val="525866"/>
          <w:sz w:val="22"/>
        </w:rPr>
        <w:t>JCI filed an amended earnings release (8-K/A) on May 7, one day after the original Q2 print. This is a routine administrative correction and does not indicate a material restatement.</w:t>
      </w:r>
    </w:p>
    <w:p>
      <w:pPr>
        <w:pStyle w:val="ListBullet"/>
        <w:ind w:left="360" w:hanging="360"/>
      </w:pPr>
      <w:r>
        <w:rPr>
          <w:rFonts w:ascii="Calibri" w:hAnsi="Calibri"/>
          <w:b/>
          <w:color w:val="525866"/>
          <w:sz w:val="22"/>
        </w:rPr>
        <w:t xml:space="preserve">May 6, 2026 — Q2 FY2026 Earnings Beat; FY2026 Guidance Raised: </w:t>
      </w:r>
      <w:r>
        <w:rPr>
          <w:rFonts w:ascii="Calibri" w:hAnsi="Calibri"/>
          <w:color w:val="525866"/>
          <w:sz w:val="22"/>
        </w:rPr>
        <w:t>JCI reported Q2 FY2026 adjusted EPS of $1.19 (vs. $1.11 consensus, +6.9% beat) and revenue of $6.14B (vs. $6.06B consensus, +1.4% beat). Orders grew 30% organically (Americas +40%, systems +60%). Backlog reached a record $20B (+26% YoY). FY2026 EPS guidance raised to ~$4.85 (from ~$4.70), representing ~30% growth and $0.30 above the original guide. Q3 FY2026 EPS guided at ~$1.28 with ~45% operating leverage.</w:t>
      </w:r>
    </w:p>
    <w:p>
      <w:pPr>
        <w:pStyle w:val="ListBullet"/>
        <w:ind w:left="360" w:hanging="360"/>
      </w:pPr>
      <w:r>
        <w:rPr>
          <w:rFonts w:ascii="Calibri" w:hAnsi="Calibri"/>
          <w:b/>
          <w:color w:val="525866"/>
          <w:sz w:val="22"/>
        </w:rPr>
        <w:t xml:space="preserve">Ongoing — Portfolio Rationalization (Access Control &amp; Intrusion Detection): </w:t>
      </w:r>
      <w:r>
        <w:rPr>
          <w:rFonts w:ascii="Calibri" w:hAnsi="Calibri"/>
          <w:color w:val="525866"/>
          <w:sz w:val="22"/>
        </w:rPr>
        <w:t>Management confirmed the scope of potential divestitures has widened to “a little bit more than 10%” of revenues, with Bloomberg reporting identifying Access Control and Intrusion Detection units as specific targets. Financial advisers are engaged. A divestiture announcement ahead of or concurrent with Q3 earnings would be a significant catalyst, potentially unlocking multiple expansion by improving the growth/margin profile of the remaining portfolio.</w:t>
      </w:r>
    </w:p>
    <w:p>
      <w:pPr>
        <w:pStyle w:val="ListBullet"/>
        <w:ind w:left="360" w:hanging="360"/>
      </w:pPr>
      <w:r>
        <w:rPr>
          <w:rFonts w:ascii="Calibri" w:hAnsi="Calibri"/>
          <w:b/>
          <w:color w:val="525866"/>
          <w:sz w:val="22"/>
        </w:rPr>
        <w:t xml:space="preserve">Ongoing — Alloy Enterprises Acquisition (CDU/Liquid Cooling): </w:t>
      </w:r>
      <w:r>
        <w:rPr>
          <w:rFonts w:ascii="Calibri" w:hAnsi="Calibri"/>
          <w:color w:val="525866"/>
          <w:sz w:val="22"/>
        </w:rPr>
        <w:t>JCI acquired Alloy Enterprises (MIT/Harvard PhDs, Boston-based) for proprietary heat transfer capabilities applicable to chillers, CDUs, and cold plates. JCI expects ~$100M in CDU revenue in FY2026 with hundreds of millions in the pipeline. This positions JCI to compete across the full data center thermal chain as liquid cooling adoption grows.</w:t>
      </w:r>
    </w:p>
    <w:p>
      <w:pPr>
        <w:pStyle w:val="ListBullet"/>
        <w:ind w:left="360" w:hanging="360"/>
      </w:pPr>
      <w:r>
        <w:rPr>
          <w:rFonts w:ascii="Calibri" w:hAnsi="Calibri"/>
          <w:b/>
          <w:color w:val="525866"/>
          <w:sz w:val="22"/>
        </w:rPr>
        <w:t xml:space="preserve">Ongoing — NVIDIA Collaboration &amp; AI Factory Reference Design Guides: </w:t>
      </w:r>
      <w:r>
        <w:rPr>
          <w:rFonts w:ascii="Calibri" w:hAnsi="Calibri"/>
          <w:color w:val="525866"/>
          <w:sz w:val="22"/>
        </w:rPr>
        <w:t>JCI released its second AI factory reference design guide (air-cooled chiller architectures) in Q2, building on the water-cooled guide released earlier in FY2026. These guides provide globally repeatable blueprints for cooling gigawatt-scale AI factories and are co-developed with NVIDIA, reinforcing JCI’s positioning as the thermal backbone architect for AI computing.</w:t>
      </w:r>
    </w:p>
    <w:p>
      <w:r>
        <w:rPr>
          <w:rFonts w:ascii="Calibri" w:hAnsi="Calibri"/>
          <w:color w:val="525866"/>
          <w:sz w:val="22"/>
        </w:rPr>
        <w:t>Open-market transactions only (Form 4, Codes P/S): The only discretionary open-market sales are from Todd Grabowski (Americas President) — 6,074 shares sold across two transactions in May–June 2026 at prices near post-earnings and post-Gemba Day highs (~$143–148). These are relatively small relative to his remaining ~26,215-share balance and do not constitute a clustered insider selling signal. No open-market buys were filed in the period. The Schlitz transaction is a routine cashless option exercise. The VGI Program (performance options granted May 15, 2026) represents the most meaningful insider alignment signal — CEO, CFO, and CHRO have $21.1M in aggregate target value tied to achieving ambitious 5-year sales and market cap targets.</w:t>
      </w:r>
    </w:p>
    <w:p>
      <w:r>
        <w:rPr>
          <w:rFonts w:ascii="Calibri" w:hAnsi="Calibri"/>
          <w:i/>
          <w:color w:val="525866"/>
          <w:sz w:val="22"/>
        </w:rPr>
        <w:t>Source: Insider Transaction Data (SEC Form 4 filings, May 6 – July 28, 2026).</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